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432" w14:textId="0ABEC3A0" w:rsidR="003B30CB" w:rsidRPr="003B30CB" w:rsidRDefault="003B30CB" w:rsidP="003B30CB">
      <w:pPr>
        <w:pStyle w:val="Prrafodelista"/>
        <w:ind w:left="0"/>
        <w:rPr>
          <w:rFonts w:cstheme="minorHAnsi"/>
          <w:b/>
          <w:bCs/>
          <w:sz w:val="40"/>
          <w:szCs w:val="40"/>
          <w:lang w:val="es-ES"/>
        </w:rPr>
      </w:pPr>
      <w:r w:rsidRPr="003B30CB">
        <w:rPr>
          <w:rFonts w:cstheme="minorHAnsi"/>
          <w:b/>
          <w:bCs/>
          <w:sz w:val="40"/>
          <w:szCs w:val="40"/>
          <w:lang w:val="es-ES"/>
        </w:rPr>
        <w:t>SALUD Y MEDIO AMBIENTE</w:t>
      </w:r>
    </w:p>
    <w:p w14:paraId="351D44DE" w14:textId="77777777" w:rsidR="003B30CB" w:rsidRDefault="003B30CB" w:rsidP="003B30CB">
      <w:pPr>
        <w:pStyle w:val="Prrafodelista"/>
        <w:ind w:left="0"/>
        <w:rPr>
          <w:rFonts w:cstheme="minorHAnsi"/>
          <w:b/>
          <w:bCs/>
          <w:lang w:val="es-ES"/>
        </w:rPr>
      </w:pPr>
    </w:p>
    <w:p w14:paraId="1AFC7E70" w14:textId="77777777" w:rsidR="007969DF" w:rsidRDefault="007969DF" w:rsidP="007969DF">
      <w:pPr>
        <w:rPr>
          <w:rFonts w:cstheme="minorHAnsi"/>
          <w:b/>
          <w:bCs/>
          <w:lang w:val="es-ES"/>
        </w:rPr>
      </w:pPr>
      <w:r w:rsidRPr="007969DF">
        <w:rPr>
          <w:rFonts w:cstheme="minorHAnsi"/>
          <w:b/>
          <w:bCs/>
          <w:lang w:val="es-ES"/>
        </w:rPr>
        <w:t>¿Es el metano entérico que emite un rumiante similar a otras fuentes de metano en su efecto de calentamiento de la atmósfera?</w:t>
      </w:r>
    </w:p>
    <w:p w14:paraId="36563105" w14:textId="73D7058A" w:rsidR="007969DF" w:rsidRPr="007969DF" w:rsidRDefault="007969DF" w:rsidP="007969DF">
      <w:pPr>
        <w:rPr>
          <w:rFonts w:cstheme="minorHAnsi"/>
          <w:lang w:val="es-ES"/>
        </w:rPr>
      </w:pPr>
      <w:r w:rsidRPr="007969DF">
        <w:rPr>
          <w:rFonts w:cstheme="minorHAnsi"/>
          <w:lang w:val="es-ES"/>
        </w:rPr>
        <w:t>(Responde Dr. Rodrigo Arias)</w:t>
      </w:r>
    </w:p>
    <w:p w14:paraId="23A356B3" w14:textId="77777777" w:rsidR="007969DF" w:rsidRPr="00266413" w:rsidRDefault="007969DF" w:rsidP="007969DF">
      <w:pPr>
        <w:ind w:left="360"/>
        <w:rPr>
          <w:rFonts w:cstheme="minorHAnsi"/>
          <w:b/>
          <w:bCs/>
          <w:lang w:val="es-ES"/>
        </w:rPr>
      </w:pPr>
    </w:p>
    <w:p w14:paraId="4C41C840" w14:textId="77777777" w:rsidR="007969DF" w:rsidRPr="0064618D" w:rsidRDefault="007969DF" w:rsidP="007969DF">
      <w:pPr>
        <w:jc w:val="both"/>
        <w:rPr>
          <w:rFonts w:cstheme="minorHAnsi"/>
          <w:sz w:val="22"/>
          <w:szCs w:val="22"/>
          <w:lang w:val="es-ES"/>
        </w:rPr>
      </w:pPr>
      <w:r w:rsidRPr="0064618D">
        <w:rPr>
          <w:rFonts w:cstheme="minorHAnsi"/>
          <w:b/>
          <w:bCs/>
          <w:sz w:val="22"/>
          <w:szCs w:val="22"/>
          <w:lang w:val="es-ES"/>
        </w:rPr>
        <w:t>Respuesta corta</w:t>
      </w:r>
      <w:r w:rsidRPr="0064618D">
        <w:rPr>
          <w:rFonts w:cstheme="minorHAnsi"/>
          <w:sz w:val="22"/>
          <w:szCs w:val="22"/>
          <w:lang w:val="es-ES"/>
        </w:rPr>
        <w:t>:</w:t>
      </w:r>
      <w:r>
        <w:rPr>
          <w:rFonts w:cstheme="minorHAnsi"/>
          <w:sz w:val="22"/>
          <w:szCs w:val="22"/>
          <w:lang w:val="es-ES"/>
        </w:rPr>
        <w:t xml:space="preserve"> El metano entérico proviene de la digestión del rumiante y es parte del ciclo natural del carbono (ciclo </w:t>
      </w:r>
      <w:proofErr w:type="spellStart"/>
      <w:r>
        <w:rPr>
          <w:rFonts w:cstheme="minorHAnsi"/>
          <w:sz w:val="22"/>
          <w:szCs w:val="22"/>
          <w:lang w:val="es-ES"/>
        </w:rPr>
        <w:t>biogénico</w:t>
      </w:r>
      <w:proofErr w:type="spellEnd"/>
      <w:r>
        <w:rPr>
          <w:rFonts w:cstheme="minorHAnsi"/>
          <w:sz w:val="22"/>
          <w:szCs w:val="22"/>
          <w:lang w:val="es-ES"/>
        </w:rPr>
        <w:t xml:space="preserve">). Es un gas de vida corta en la atmósfera (10 años </w:t>
      </w:r>
      <w:proofErr w:type="spellStart"/>
      <w:r>
        <w:rPr>
          <w:rFonts w:cstheme="minorHAnsi"/>
          <w:sz w:val="22"/>
          <w:szCs w:val="22"/>
          <w:lang w:val="es-ES"/>
        </w:rPr>
        <w:t>aprox</w:t>
      </w:r>
      <w:proofErr w:type="spellEnd"/>
      <w:r>
        <w:rPr>
          <w:rFonts w:cstheme="minorHAnsi"/>
          <w:sz w:val="22"/>
          <w:szCs w:val="22"/>
          <w:lang w:val="es-ES"/>
        </w:rPr>
        <w:t>) que es degradado a CO</w:t>
      </w:r>
      <w:r w:rsidRPr="005E1F00">
        <w:rPr>
          <w:rFonts w:cstheme="minorHAnsi"/>
          <w:sz w:val="22"/>
          <w:szCs w:val="22"/>
          <w:vertAlign w:val="subscript"/>
          <w:lang w:val="es-ES"/>
        </w:rPr>
        <w:t>2</w:t>
      </w:r>
      <w:r>
        <w:rPr>
          <w:rFonts w:cstheme="minorHAnsi"/>
          <w:sz w:val="22"/>
          <w:szCs w:val="22"/>
          <w:lang w:val="es-ES"/>
        </w:rPr>
        <w:t xml:space="preserve"> y agua, los que son aprovechados por las plantas (fotosíntesis). Así entonces el metano entérico sólo incrementaría el calentamiento de la atmósfera si se registra un aumento importante en la población mundial de rumiantes. </w:t>
      </w:r>
    </w:p>
    <w:p w14:paraId="12AC1412" w14:textId="77777777" w:rsidR="007969DF" w:rsidRPr="0064618D" w:rsidRDefault="007969DF" w:rsidP="007969DF">
      <w:pPr>
        <w:jc w:val="both"/>
        <w:rPr>
          <w:rFonts w:cstheme="minorHAnsi"/>
          <w:color w:val="000000"/>
          <w:sz w:val="22"/>
          <w:szCs w:val="22"/>
          <w:lang w:val="es-MX"/>
        </w:rPr>
      </w:pPr>
    </w:p>
    <w:p w14:paraId="6E8AC1B1" w14:textId="77777777" w:rsidR="007969DF" w:rsidRPr="0064618D" w:rsidRDefault="007969DF" w:rsidP="007969DF">
      <w:pPr>
        <w:jc w:val="both"/>
        <w:rPr>
          <w:rFonts w:cstheme="minorHAnsi"/>
          <w:color w:val="000000"/>
          <w:sz w:val="22"/>
          <w:szCs w:val="22"/>
          <w:lang w:val="es-MX"/>
        </w:rPr>
      </w:pPr>
      <w:r w:rsidRPr="0064618D">
        <w:rPr>
          <w:rFonts w:cstheme="minorHAnsi"/>
          <w:b/>
          <w:bCs/>
          <w:sz w:val="22"/>
          <w:szCs w:val="22"/>
          <w:lang w:val="es-ES"/>
        </w:rPr>
        <w:t>Explicación extendida</w:t>
      </w:r>
      <w:r w:rsidRPr="0064618D">
        <w:rPr>
          <w:rFonts w:cstheme="minorHAnsi"/>
          <w:sz w:val="22"/>
          <w:szCs w:val="22"/>
          <w:lang w:val="es-ES"/>
        </w:rPr>
        <w:t xml:space="preserve">: </w:t>
      </w:r>
      <w:r w:rsidRPr="0064618D">
        <w:rPr>
          <w:rFonts w:cstheme="minorHAnsi"/>
          <w:color w:val="000000"/>
          <w:sz w:val="22"/>
          <w:szCs w:val="22"/>
          <w:lang w:val="es-MX"/>
        </w:rPr>
        <w:t xml:space="preserve">El metano </w:t>
      </w:r>
      <w:r>
        <w:rPr>
          <w:rFonts w:cstheme="minorHAnsi"/>
          <w:color w:val="000000"/>
          <w:sz w:val="22"/>
          <w:szCs w:val="22"/>
          <w:lang w:val="es-MX"/>
        </w:rPr>
        <w:t>(</w:t>
      </w:r>
      <w:r w:rsidRPr="0064618D">
        <w:rPr>
          <w:rFonts w:cstheme="minorHAnsi"/>
          <w:color w:val="000000"/>
          <w:sz w:val="22"/>
          <w:szCs w:val="22"/>
          <w:lang w:val="es-MX"/>
        </w:rPr>
        <w:t>CH</w:t>
      </w:r>
      <w:r w:rsidRPr="0064618D">
        <w:rPr>
          <w:rFonts w:cstheme="minorHAnsi"/>
          <w:color w:val="000000"/>
          <w:sz w:val="22"/>
          <w:szCs w:val="22"/>
          <w:vertAlign w:val="subscript"/>
          <w:lang w:val="es-MX"/>
        </w:rPr>
        <w:t>4</w:t>
      </w:r>
      <w:r w:rsidRPr="00BD4614">
        <w:rPr>
          <w:rFonts w:cstheme="minorHAnsi"/>
          <w:color w:val="000000"/>
          <w:sz w:val="22"/>
          <w:szCs w:val="22"/>
          <w:lang w:val="es-MX"/>
        </w:rPr>
        <w:t>)</w:t>
      </w:r>
      <w:r>
        <w:rPr>
          <w:rFonts w:cstheme="minorHAnsi"/>
          <w:color w:val="000000"/>
          <w:sz w:val="22"/>
          <w:szCs w:val="22"/>
          <w:lang w:val="es-MX"/>
        </w:rPr>
        <w:t xml:space="preserve"> </w:t>
      </w:r>
      <w:r w:rsidRPr="0064618D">
        <w:rPr>
          <w:rFonts w:cstheme="minorHAnsi"/>
          <w:color w:val="000000"/>
          <w:sz w:val="22"/>
          <w:szCs w:val="22"/>
          <w:lang w:val="es-MX"/>
        </w:rPr>
        <w:t>es un gas de efecto invernadero de corta vida en la atmósfera (9 a 12 años), el que se produce tanto en forma natural por descomposición de la materia orgánica (mayormente en humedales y permaforst), por el ganado rumiante (silvestre y domesticado) así como de otras especies (elefantes, canguros, termitas) y también en océanos, entre otras fuentes naturales. Otra fuente de emisión importante (antropogénica) es a través de la obtención de energ</w:t>
      </w:r>
      <w:r>
        <w:rPr>
          <w:rFonts w:cstheme="minorHAnsi"/>
          <w:color w:val="000000"/>
          <w:sz w:val="22"/>
          <w:szCs w:val="22"/>
          <w:lang w:val="es-MX"/>
        </w:rPr>
        <w:t>ía a partir de combustibles fósil</w:t>
      </w:r>
      <w:r w:rsidRPr="0064618D">
        <w:rPr>
          <w:rFonts w:cstheme="minorHAnsi"/>
          <w:color w:val="000000"/>
          <w:sz w:val="22"/>
          <w:szCs w:val="22"/>
          <w:lang w:val="es-MX"/>
        </w:rPr>
        <w:t>es y gas natural. Sin embargo, como ya señalamos el metano si bien tiene un mayor poder de calentamiento</w:t>
      </w:r>
      <w:r>
        <w:rPr>
          <w:rFonts w:cstheme="minorHAnsi"/>
          <w:color w:val="000000"/>
          <w:sz w:val="22"/>
          <w:szCs w:val="22"/>
          <w:lang w:val="es-MX"/>
        </w:rPr>
        <w:t xml:space="preserve"> que el dióxido de carbono (</w:t>
      </w:r>
      <w:r>
        <w:rPr>
          <w:rFonts w:cstheme="minorHAnsi"/>
          <w:sz w:val="22"/>
          <w:szCs w:val="22"/>
          <w:lang w:val="es-ES"/>
        </w:rPr>
        <w:t>CO</w:t>
      </w:r>
      <w:r w:rsidRPr="005E1F00">
        <w:rPr>
          <w:rFonts w:cstheme="minorHAnsi"/>
          <w:sz w:val="22"/>
          <w:szCs w:val="22"/>
          <w:vertAlign w:val="subscript"/>
          <w:lang w:val="es-ES"/>
        </w:rPr>
        <w:t>2</w:t>
      </w:r>
      <w:r>
        <w:rPr>
          <w:rFonts w:cstheme="minorHAnsi"/>
          <w:color w:val="000000"/>
          <w:sz w:val="22"/>
          <w:szCs w:val="22"/>
          <w:lang w:val="es-MX"/>
        </w:rPr>
        <w:t>),</w:t>
      </w:r>
      <w:r w:rsidRPr="0064618D">
        <w:rPr>
          <w:rFonts w:cstheme="minorHAnsi"/>
          <w:color w:val="000000"/>
          <w:sz w:val="22"/>
          <w:szCs w:val="22"/>
          <w:lang w:val="es-MX"/>
        </w:rPr>
        <w:t xml:space="preserve"> se destruye en un periodo relativamente corto de tiempo y no se acumula en la atmósfera como si ocurre en el caso del</w:t>
      </w:r>
      <w:r>
        <w:rPr>
          <w:rFonts w:cstheme="minorHAnsi"/>
          <w:color w:val="000000"/>
          <w:sz w:val="22"/>
          <w:szCs w:val="22"/>
          <w:lang w:val="es-MX"/>
        </w:rPr>
        <w:t xml:space="preserve"> óxido nitroso</w:t>
      </w:r>
      <w:r w:rsidRPr="0064618D">
        <w:rPr>
          <w:rFonts w:cstheme="minorHAnsi"/>
          <w:color w:val="000000"/>
          <w:sz w:val="22"/>
          <w:szCs w:val="22"/>
          <w:lang w:val="es-MX"/>
        </w:rPr>
        <w:t xml:space="preserve"> </w:t>
      </w:r>
      <w:r>
        <w:rPr>
          <w:rFonts w:cstheme="minorHAnsi"/>
          <w:color w:val="000000"/>
          <w:sz w:val="22"/>
          <w:szCs w:val="22"/>
          <w:lang w:val="es-MX"/>
        </w:rPr>
        <w:t>(</w:t>
      </w:r>
      <w:r w:rsidRPr="0064618D">
        <w:rPr>
          <w:rFonts w:cstheme="minorHAnsi"/>
          <w:color w:val="000000"/>
          <w:sz w:val="22"/>
          <w:szCs w:val="22"/>
          <w:lang w:val="es-MX"/>
        </w:rPr>
        <w:t>N</w:t>
      </w:r>
      <w:r w:rsidRPr="0064618D">
        <w:rPr>
          <w:rFonts w:cstheme="minorHAnsi"/>
          <w:color w:val="000000"/>
          <w:sz w:val="22"/>
          <w:szCs w:val="22"/>
          <w:vertAlign w:val="subscript"/>
          <w:lang w:val="es-MX"/>
        </w:rPr>
        <w:t>2</w:t>
      </w:r>
      <w:r w:rsidRPr="0064618D">
        <w:rPr>
          <w:rFonts w:cstheme="minorHAnsi"/>
          <w:color w:val="000000"/>
          <w:sz w:val="22"/>
          <w:szCs w:val="22"/>
          <w:lang w:val="es-MX"/>
        </w:rPr>
        <w:t>O</w:t>
      </w:r>
      <w:r>
        <w:rPr>
          <w:rFonts w:cstheme="minorHAnsi"/>
          <w:color w:val="000000"/>
          <w:sz w:val="22"/>
          <w:szCs w:val="22"/>
          <w:lang w:val="es-MX"/>
        </w:rPr>
        <w:t>)</w:t>
      </w:r>
      <w:r w:rsidRPr="0064618D">
        <w:rPr>
          <w:rFonts w:cstheme="minorHAnsi"/>
          <w:color w:val="000000"/>
          <w:sz w:val="22"/>
          <w:szCs w:val="22"/>
          <w:lang w:val="es-MX"/>
        </w:rPr>
        <w:t xml:space="preserve"> y CO</w:t>
      </w:r>
      <w:r w:rsidRPr="0064618D">
        <w:rPr>
          <w:rFonts w:cstheme="minorHAnsi"/>
          <w:color w:val="000000"/>
          <w:sz w:val="22"/>
          <w:szCs w:val="22"/>
          <w:vertAlign w:val="subscript"/>
          <w:lang w:val="es-MX"/>
        </w:rPr>
        <w:t>2</w:t>
      </w:r>
      <w:r w:rsidRPr="0064618D">
        <w:rPr>
          <w:rFonts w:cstheme="minorHAnsi"/>
          <w:color w:val="000000"/>
          <w:sz w:val="22"/>
          <w:szCs w:val="22"/>
          <w:lang w:val="es-MX"/>
        </w:rPr>
        <w:t>, cuyas vidas medias superan los 100 y 1.000 años, respectivamente.</w:t>
      </w:r>
    </w:p>
    <w:p w14:paraId="5C358442" w14:textId="77777777" w:rsidR="007969DF" w:rsidRPr="0064618D" w:rsidRDefault="007969DF" w:rsidP="007969DF">
      <w:pPr>
        <w:jc w:val="both"/>
        <w:rPr>
          <w:rFonts w:cstheme="minorHAnsi"/>
          <w:color w:val="000000"/>
          <w:sz w:val="22"/>
          <w:szCs w:val="22"/>
          <w:lang w:val="es-MX"/>
        </w:rPr>
      </w:pPr>
    </w:p>
    <w:p w14:paraId="0C1FB39E" w14:textId="77777777" w:rsidR="007969DF" w:rsidRPr="0064618D" w:rsidRDefault="007969DF" w:rsidP="007969DF">
      <w:pPr>
        <w:jc w:val="both"/>
        <w:rPr>
          <w:rFonts w:cstheme="minorHAnsi"/>
          <w:color w:val="000000"/>
          <w:sz w:val="22"/>
          <w:szCs w:val="22"/>
          <w:lang w:val="es-MX"/>
        </w:rPr>
      </w:pPr>
      <w:r>
        <w:rPr>
          <w:rFonts w:cstheme="minorHAnsi"/>
          <w:color w:val="000000"/>
          <w:sz w:val="22"/>
          <w:szCs w:val="22"/>
          <w:lang w:val="es-MX"/>
        </w:rPr>
        <w:t xml:space="preserve">Por otra parte se denomina </w:t>
      </w:r>
      <w:r w:rsidRPr="0064618D">
        <w:rPr>
          <w:rFonts w:cstheme="minorHAnsi"/>
          <w:color w:val="000000"/>
          <w:sz w:val="22"/>
          <w:szCs w:val="22"/>
          <w:lang w:val="es-MX"/>
        </w:rPr>
        <w:t xml:space="preserve">metano entérico a aquel que se produce de manera natural en el proceso de fermentación ruminal (retículo-rumen) e intestino grueso de los animales, y se asocia principalmente a los bovinos y ovinos domesticados (Figura 1). Este proceso es esencial para un normal funcionamiento del rumen (mantener un ambiente reductivo) y la buena salud del animal. Durante el proceso de fermentación microbiana que </w:t>
      </w:r>
      <w:r>
        <w:rPr>
          <w:rFonts w:cstheme="minorHAnsi"/>
          <w:color w:val="000000"/>
          <w:sz w:val="22"/>
          <w:szCs w:val="22"/>
          <w:lang w:val="es-MX"/>
        </w:rPr>
        <w:t>oc</w:t>
      </w:r>
      <w:r w:rsidRPr="0064618D">
        <w:rPr>
          <w:rFonts w:cstheme="minorHAnsi"/>
          <w:color w:val="000000"/>
          <w:sz w:val="22"/>
          <w:szCs w:val="22"/>
          <w:lang w:val="es-MX"/>
        </w:rPr>
        <w:t>urre en el rumen, se producen ácidos grasos volátiles y proteína microbiana</w:t>
      </w:r>
      <w:r>
        <w:rPr>
          <w:rFonts w:cstheme="minorHAnsi"/>
          <w:color w:val="000000"/>
          <w:sz w:val="22"/>
          <w:szCs w:val="22"/>
          <w:lang w:val="es-MX"/>
        </w:rPr>
        <w:t xml:space="preserve"> los</w:t>
      </w:r>
      <w:r w:rsidRPr="0064618D">
        <w:rPr>
          <w:rFonts w:cstheme="minorHAnsi"/>
          <w:color w:val="000000"/>
          <w:sz w:val="22"/>
          <w:szCs w:val="22"/>
          <w:lang w:val="es-MX"/>
        </w:rPr>
        <w:t xml:space="preserve"> que satisfacen las necesidades metabólicas del animal. Como resultado de esta fermentación anaer</w:t>
      </w:r>
      <w:r>
        <w:rPr>
          <w:rFonts w:cstheme="minorHAnsi"/>
          <w:color w:val="000000"/>
          <w:sz w:val="22"/>
          <w:szCs w:val="22"/>
          <w:lang w:val="es-MX"/>
        </w:rPr>
        <w:t>ó</w:t>
      </w:r>
      <w:r w:rsidRPr="0064618D">
        <w:rPr>
          <w:rFonts w:cstheme="minorHAnsi"/>
          <w:color w:val="000000"/>
          <w:sz w:val="22"/>
          <w:szCs w:val="22"/>
          <w:lang w:val="es-MX"/>
        </w:rPr>
        <w:t xml:space="preserve">bica se producen </w:t>
      </w:r>
      <w:r>
        <w:rPr>
          <w:rFonts w:cstheme="minorHAnsi"/>
          <w:color w:val="000000"/>
          <w:sz w:val="22"/>
          <w:szCs w:val="22"/>
          <w:lang w:val="es-MX"/>
        </w:rPr>
        <w:t xml:space="preserve">entre otros gases </w:t>
      </w:r>
      <w:r w:rsidRPr="0064618D">
        <w:rPr>
          <w:rFonts w:cstheme="minorHAnsi"/>
          <w:color w:val="000000"/>
          <w:sz w:val="22"/>
          <w:szCs w:val="22"/>
          <w:lang w:val="es-MX"/>
        </w:rPr>
        <w:t>CO</w:t>
      </w:r>
      <w:r w:rsidRPr="0064618D">
        <w:rPr>
          <w:rFonts w:cstheme="minorHAnsi"/>
          <w:color w:val="000000"/>
          <w:sz w:val="22"/>
          <w:szCs w:val="22"/>
          <w:vertAlign w:val="subscript"/>
          <w:lang w:val="es-MX"/>
        </w:rPr>
        <w:t>2</w:t>
      </w:r>
      <w:r w:rsidRPr="0064618D">
        <w:rPr>
          <w:rFonts w:cstheme="minorHAnsi"/>
          <w:color w:val="000000"/>
          <w:sz w:val="22"/>
          <w:szCs w:val="22"/>
          <w:lang w:val="es-MX"/>
        </w:rPr>
        <w:t xml:space="preserve"> y H</w:t>
      </w:r>
      <w:r w:rsidRPr="0064618D">
        <w:rPr>
          <w:rFonts w:cstheme="minorHAnsi"/>
          <w:color w:val="000000"/>
          <w:sz w:val="22"/>
          <w:szCs w:val="22"/>
          <w:vertAlign w:val="subscript"/>
          <w:lang w:val="es-MX"/>
        </w:rPr>
        <w:t>2</w:t>
      </w:r>
      <w:r w:rsidRPr="0064618D">
        <w:rPr>
          <w:rFonts w:cstheme="minorHAnsi"/>
          <w:color w:val="000000"/>
          <w:sz w:val="22"/>
          <w:szCs w:val="22"/>
          <w:lang w:val="es-MX"/>
        </w:rPr>
        <w:t xml:space="preserve"> </w:t>
      </w:r>
      <w:r>
        <w:rPr>
          <w:rFonts w:cstheme="minorHAnsi"/>
          <w:color w:val="000000"/>
          <w:sz w:val="22"/>
          <w:szCs w:val="22"/>
          <w:lang w:val="es-MX"/>
        </w:rPr>
        <w:t xml:space="preserve">los </w:t>
      </w:r>
      <w:r w:rsidRPr="0064618D">
        <w:rPr>
          <w:rFonts w:cstheme="minorHAnsi"/>
          <w:color w:val="000000"/>
          <w:sz w:val="22"/>
          <w:szCs w:val="22"/>
          <w:lang w:val="es-MX"/>
        </w:rPr>
        <w:t>que son entonces convertidos a CH</w:t>
      </w:r>
      <w:r w:rsidRPr="0064618D">
        <w:rPr>
          <w:rFonts w:cstheme="minorHAnsi"/>
          <w:color w:val="000000"/>
          <w:sz w:val="22"/>
          <w:szCs w:val="22"/>
          <w:vertAlign w:val="subscript"/>
          <w:lang w:val="es-MX"/>
        </w:rPr>
        <w:t>4</w:t>
      </w:r>
      <w:r w:rsidRPr="0064618D">
        <w:rPr>
          <w:rFonts w:cstheme="minorHAnsi"/>
          <w:color w:val="000000"/>
          <w:sz w:val="22"/>
          <w:szCs w:val="22"/>
          <w:lang w:val="es-MX"/>
        </w:rPr>
        <w:t xml:space="preserve"> por bacterias metanogénicas que habitan del rumen y el cual es mayorme</w:t>
      </w:r>
      <w:r>
        <w:rPr>
          <w:rFonts w:cstheme="minorHAnsi"/>
          <w:color w:val="000000"/>
          <w:sz w:val="22"/>
          <w:szCs w:val="22"/>
          <w:lang w:val="es-MX"/>
        </w:rPr>
        <w:t>n</w:t>
      </w:r>
      <w:r w:rsidRPr="0064618D">
        <w:rPr>
          <w:rFonts w:cstheme="minorHAnsi"/>
          <w:color w:val="000000"/>
          <w:sz w:val="22"/>
          <w:szCs w:val="22"/>
          <w:lang w:val="es-MX"/>
        </w:rPr>
        <w:t>te eructado a la atmósfera (95%).</w:t>
      </w:r>
      <w:r>
        <w:rPr>
          <w:rFonts w:cstheme="minorHAnsi"/>
          <w:color w:val="000000"/>
          <w:sz w:val="22"/>
          <w:szCs w:val="22"/>
          <w:lang w:val="es-MX"/>
        </w:rPr>
        <w:t xml:space="preserve"> </w:t>
      </w:r>
      <w:r w:rsidRPr="007559CF">
        <w:rPr>
          <w:rFonts w:cstheme="minorHAnsi"/>
          <w:color w:val="000000"/>
          <w:sz w:val="22"/>
          <w:szCs w:val="22"/>
        </w:rPr>
        <w:t xml:space="preserve">Esto evita </w:t>
      </w:r>
      <w:r>
        <w:rPr>
          <w:rFonts w:cstheme="minorHAnsi"/>
          <w:color w:val="000000"/>
          <w:sz w:val="22"/>
          <w:szCs w:val="22"/>
        </w:rPr>
        <w:t xml:space="preserve">que </w:t>
      </w:r>
      <w:r w:rsidRPr="007559CF">
        <w:rPr>
          <w:rFonts w:cstheme="minorHAnsi"/>
          <w:color w:val="000000"/>
          <w:sz w:val="22"/>
          <w:szCs w:val="22"/>
        </w:rPr>
        <w:t xml:space="preserve">el pH al interior del rumen </w:t>
      </w:r>
      <w:r>
        <w:rPr>
          <w:rFonts w:cstheme="minorHAnsi"/>
          <w:color w:val="000000"/>
          <w:sz w:val="22"/>
          <w:szCs w:val="22"/>
        </w:rPr>
        <w:t xml:space="preserve">descienda </w:t>
      </w:r>
      <w:r w:rsidRPr="007559CF">
        <w:rPr>
          <w:rFonts w:cstheme="minorHAnsi"/>
          <w:color w:val="000000"/>
          <w:sz w:val="22"/>
          <w:szCs w:val="22"/>
        </w:rPr>
        <w:t xml:space="preserve">manteniendo </w:t>
      </w:r>
      <w:r>
        <w:rPr>
          <w:rFonts w:cstheme="minorHAnsi"/>
          <w:color w:val="000000"/>
          <w:sz w:val="22"/>
          <w:szCs w:val="22"/>
        </w:rPr>
        <w:t xml:space="preserve">así </w:t>
      </w:r>
      <w:r w:rsidRPr="007559CF">
        <w:rPr>
          <w:rFonts w:cstheme="minorHAnsi"/>
          <w:color w:val="000000"/>
          <w:sz w:val="22"/>
          <w:szCs w:val="22"/>
        </w:rPr>
        <w:t>las condiciones para el desarrollo de los microorganismos</w:t>
      </w:r>
      <w:r>
        <w:rPr>
          <w:rFonts w:cstheme="minorHAnsi"/>
          <w:color w:val="000000"/>
          <w:sz w:val="22"/>
          <w:szCs w:val="22"/>
        </w:rPr>
        <w:t>.</w:t>
      </w:r>
      <w:r w:rsidRPr="007559CF">
        <w:rPr>
          <w:rFonts w:cstheme="minorHAnsi"/>
          <w:color w:val="000000"/>
          <w:sz w:val="22"/>
          <w:szCs w:val="22"/>
          <w:lang w:val="es-MX"/>
        </w:rPr>
        <w:t xml:space="preserve"> </w:t>
      </w:r>
      <w:r>
        <w:rPr>
          <w:rFonts w:cstheme="minorHAnsi"/>
          <w:color w:val="000000"/>
          <w:sz w:val="22"/>
          <w:szCs w:val="22"/>
          <w:lang w:val="es-MX"/>
        </w:rPr>
        <w:t>La producción de metano entérico d</w:t>
      </w:r>
      <w:r w:rsidRPr="0064618D">
        <w:rPr>
          <w:rFonts w:cstheme="minorHAnsi"/>
          <w:color w:val="000000"/>
          <w:sz w:val="22"/>
          <w:szCs w:val="22"/>
          <w:lang w:val="es-MX"/>
        </w:rPr>
        <w:t>epend</w:t>
      </w:r>
      <w:r>
        <w:rPr>
          <w:rFonts w:cstheme="minorHAnsi"/>
          <w:color w:val="000000"/>
          <w:sz w:val="22"/>
          <w:szCs w:val="22"/>
          <w:lang w:val="es-MX"/>
        </w:rPr>
        <w:t xml:space="preserve">e </w:t>
      </w:r>
      <w:r w:rsidRPr="0064618D">
        <w:rPr>
          <w:rFonts w:cstheme="minorHAnsi"/>
          <w:color w:val="000000"/>
          <w:sz w:val="22"/>
          <w:szCs w:val="22"/>
          <w:lang w:val="es-MX"/>
        </w:rPr>
        <w:t>de la calidad de la dieta</w:t>
      </w:r>
      <w:r>
        <w:rPr>
          <w:rFonts w:cstheme="minorHAnsi"/>
          <w:color w:val="000000"/>
          <w:sz w:val="22"/>
          <w:szCs w:val="22"/>
          <w:lang w:val="es-MX"/>
        </w:rPr>
        <w:t xml:space="preserve"> y ha sido sujeto de estudio desde hace décadas en la nutrición de rumiantes, pues </w:t>
      </w:r>
      <w:r w:rsidRPr="0064618D">
        <w:rPr>
          <w:rFonts w:cstheme="minorHAnsi"/>
          <w:color w:val="000000"/>
          <w:sz w:val="22"/>
          <w:szCs w:val="22"/>
          <w:lang w:val="es-MX"/>
        </w:rPr>
        <w:t xml:space="preserve">representa una pérdida de energía que fluctua entre el 2 y 12% del total de </w:t>
      </w:r>
      <w:r>
        <w:rPr>
          <w:rFonts w:cstheme="minorHAnsi"/>
          <w:color w:val="000000"/>
          <w:sz w:val="22"/>
          <w:szCs w:val="22"/>
          <w:lang w:val="es-MX"/>
        </w:rPr>
        <w:t xml:space="preserve">la </w:t>
      </w:r>
      <w:r w:rsidRPr="0064618D">
        <w:rPr>
          <w:rFonts w:cstheme="minorHAnsi"/>
          <w:color w:val="000000"/>
          <w:sz w:val="22"/>
          <w:szCs w:val="22"/>
          <w:lang w:val="es-MX"/>
        </w:rPr>
        <w:t xml:space="preserve">energía </w:t>
      </w:r>
      <w:r>
        <w:rPr>
          <w:rFonts w:cstheme="minorHAnsi"/>
          <w:color w:val="000000"/>
          <w:sz w:val="22"/>
          <w:szCs w:val="22"/>
          <w:lang w:val="es-MX"/>
        </w:rPr>
        <w:t>bruta consumida</w:t>
      </w:r>
      <w:r w:rsidRPr="0064618D">
        <w:rPr>
          <w:rFonts w:cstheme="minorHAnsi"/>
          <w:color w:val="000000"/>
          <w:sz w:val="22"/>
          <w:szCs w:val="22"/>
          <w:lang w:val="es-MX"/>
        </w:rPr>
        <w:t>.</w:t>
      </w:r>
    </w:p>
    <w:p w14:paraId="373A6D7F" w14:textId="77777777" w:rsidR="007969DF" w:rsidRPr="0064618D" w:rsidRDefault="007969DF" w:rsidP="007969DF">
      <w:pPr>
        <w:jc w:val="both"/>
        <w:rPr>
          <w:rFonts w:cstheme="minorHAnsi"/>
          <w:color w:val="000000"/>
          <w:sz w:val="22"/>
          <w:szCs w:val="22"/>
          <w:lang w:val="es-MX"/>
        </w:rPr>
      </w:pPr>
    </w:p>
    <w:p w14:paraId="57876459" w14:textId="77777777" w:rsidR="007969DF" w:rsidRPr="0064618D" w:rsidRDefault="007969DF" w:rsidP="007969DF">
      <w:pPr>
        <w:jc w:val="both"/>
        <w:rPr>
          <w:rFonts w:cstheme="minorHAnsi"/>
          <w:color w:val="000000"/>
          <w:sz w:val="22"/>
          <w:szCs w:val="22"/>
          <w:lang w:val="es-MX"/>
        </w:rPr>
      </w:pPr>
      <w:r w:rsidRPr="0064618D">
        <w:rPr>
          <w:rFonts w:cstheme="minorHAnsi"/>
          <w:color w:val="000000"/>
          <w:sz w:val="22"/>
          <w:szCs w:val="22"/>
          <w:lang w:val="es-MX"/>
        </w:rPr>
        <w:t>Según los datos más recientes publicados por el proyecto global de carbono para el periodo 2008-2017 (</w:t>
      </w:r>
      <w:r>
        <w:fldChar w:fldCharType="begin"/>
      </w:r>
      <w:r>
        <w:instrText xml:space="preserve"> HYPERLINK "https://www.globalcarbonproject.org/methanebudget/" </w:instrText>
      </w:r>
      <w:r>
        <w:fldChar w:fldCharType="separate"/>
      </w:r>
      <w:r w:rsidRPr="0064618D">
        <w:rPr>
          <w:rStyle w:val="Hipervnculo"/>
          <w:rFonts w:cstheme="minorHAnsi"/>
          <w:sz w:val="22"/>
          <w:szCs w:val="22"/>
          <w:lang w:val="es-MX"/>
        </w:rPr>
        <w:t>https://www.globalcarbonproject.org/methanebudget/</w:t>
      </w:r>
      <w:r>
        <w:rPr>
          <w:rStyle w:val="Hipervnculo"/>
          <w:rFonts w:cstheme="minorHAnsi"/>
          <w:sz w:val="22"/>
          <w:szCs w:val="22"/>
          <w:lang w:val="es-MX"/>
        </w:rPr>
        <w:fldChar w:fldCharType="end"/>
      </w:r>
      <w:r w:rsidRPr="0064618D">
        <w:rPr>
          <w:rFonts w:cstheme="minorHAnsi"/>
          <w:color w:val="000000"/>
          <w:sz w:val="22"/>
          <w:szCs w:val="22"/>
          <w:lang w:val="es-MX"/>
        </w:rPr>
        <w:t>)</w:t>
      </w:r>
      <w:r>
        <w:rPr>
          <w:rFonts w:cstheme="minorHAnsi"/>
          <w:color w:val="000000"/>
          <w:sz w:val="22"/>
          <w:szCs w:val="22"/>
          <w:lang w:val="es-MX"/>
        </w:rPr>
        <w:t>,</w:t>
      </w:r>
      <w:r w:rsidRPr="0064618D">
        <w:rPr>
          <w:rFonts w:cstheme="minorHAnsi"/>
          <w:color w:val="000000"/>
          <w:sz w:val="22"/>
          <w:szCs w:val="22"/>
          <w:lang w:val="es-MX"/>
        </w:rPr>
        <w:t xml:space="preserve"> la ganadería (metano entérico + estiércol) contribuyó con 15,06% del metano total. En tanto otras fuentes naturales contribuyeron con cerca del 50,33% de las emisiones, cabe destacar que los humedales por sí solos representan el 20,21%.</w:t>
      </w:r>
      <w:r>
        <w:rPr>
          <w:rFonts w:cstheme="minorHAnsi"/>
          <w:color w:val="000000"/>
          <w:sz w:val="22"/>
          <w:szCs w:val="22"/>
          <w:lang w:val="es-MX"/>
        </w:rPr>
        <w:t xml:space="preserve"> Así mismo c</w:t>
      </w:r>
      <w:r w:rsidRPr="0064618D">
        <w:rPr>
          <w:rFonts w:cstheme="minorHAnsi"/>
          <w:color w:val="000000"/>
          <w:sz w:val="22"/>
          <w:szCs w:val="22"/>
          <w:lang w:val="es-MX"/>
        </w:rPr>
        <w:t>abe señalar que el CO</w:t>
      </w:r>
      <w:r w:rsidRPr="0064618D">
        <w:rPr>
          <w:rFonts w:cstheme="minorHAnsi"/>
          <w:color w:val="000000"/>
          <w:sz w:val="22"/>
          <w:szCs w:val="22"/>
          <w:vertAlign w:val="subscript"/>
          <w:lang w:val="es-MX"/>
        </w:rPr>
        <w:t>2</w:t>
      </w:r>
      <w:r w:rsidRPr="0064618D">
        <w:rPr>
          <w:rFonts w:cstheme="minorHAnsi"/>
          <w:color w:val="000000"/>
          <w:sz w:val="22"/>
          <w:szCs w:val="22"/>
          <w:lang w:val="es-MX"/>
        </w:rPr>
        <w:t xml:space="preserve"> representa alrededor del 76 por ciento de las emisiones totales de gases de efecto invernadero, mientras que el metano, un 16 por ciento de las emisiones de gases de efecto invernadero y el óxido nitroso, principalmente de la industria y la agricultura, contribuye con el 6</w:t>
      </w:r>
      <w:r>
        <w:rPr>
          <w:rFonts w:cstheme="minorHAnsi"/>
          <w:color w:val="000000"/>
          <w:sz w:val="22"/>
          <w:szCs w:val="22"/>
          <w:lang w:val="es-MX"/>
        </w:rPr>
        <w:t xml:space="preserve">% </w:t>
      </w:r>
      <w:r w:rsidRPr="0064618D">
        <w:rPr>
          <w:rFonts w:cstheme="minorHAnsi"/>
          <w:color w:val="000000"/>
          <w:sz w:val="22"/>
          <w:szCs w:val="22"/>
          <w:lang w:val="es-MX"/>
        </w:rPr>
        <w:t xml:space="preserve">a las emisiones globales y el restante 2% </w:t>
      </w:r>
      <w:r>
        <w:rPr>
          <w:rFonts w:cstheme="minorHAnsi"/>
          <w:color w:val="000000"/>
          <w:sz w:val="22"/>
          <w:szCs w:val="22"/>
          <w:lang w:val="es-MX"/>
        </w:rPr>
        <w:t xml:space="preserve">corresponde a </w:t>
      </w:r>
      <w:r w:rsidRPr="0064618D">
        <w:rPr>
          <w:rFonts w:cstheme="minorHAnsi"/>
          <w:color w:val="000000"/>
          <w:sz w:val="22"/>
          <w:szCs w:val="22"/>
          <w:lang w:val="es-MX"/>
        </w:rPr>
        <w:t>otros grases (todas ellas expresadas en equivalentes de CO</w:t>
      </w:r>
      <w:r w:rsidRPr="0064618D">
        <w:rPr>
          <w:rFonts w:cstheme="minorHAnsi"/>
          <w:color w:val="000000"/>
          <w:sz w:val="22"/>
          <w:szCs w:val="22"/>
          <w:vertAlign w:val="subscript"/>
          <w:lang w:val="es-MX"/>
        </w:rPr>
        <w:t>2</w:t>
      </w:r>
      <w:r w:rsidRPr="0064618D">
        <w:rPr>
          <w:rFonts w:cstheme="minorHAnsi"/>
          <w:color w:val="000000"/>
          <w:sz w:val="22"/>
          <w:szCs w:val="22"/>
          <w:lang w:val="es-MX"/>
        </w:rPr>
        <w:t>)</w:t>
      </w:r>
      <w:r w:rsidRPr="0064618D">
        <w:rPr>
          <w:rFonts w:cstheme="minorHAnsi"/>
          <w:sz w:val="22"/>
          <w:szCs w:val="22"/>
        </w:rPr>
        <w:t xml:space="preserve"> </w:t>
      </w:r>
      <w:hyperlink r:id="rId7" w:history="1">
        <w:r w:rsidRPr="0064618D">
          <w:rPr>
            <w:rStyle w:val="Hipervnculo"/>
            <w:rFonts w:cstheme="minorHAnsi"/>
            <w:sz w:val="22"/>
            <w:szCs w:val="22"/>
            <w:lang w:val="es-MX"/>
          </w:rPr>
          <w:t>https://letstalkscience.ca/educational-resources/stem-in-context/cows-methane-and-climate-change</w:t>
        </w:r>
      </w:hyperlink>
      <w:r w:rsidRPr="0064618D">
        <w:rPr>
          <w:rFonts w:cstheme="minorHAnsi"/>
          <w:color w:val="000000"/>
          <w:sz w:val="22"/>
          <w:szCs w:val="22"/>
          <w:lang w:val="es-MX"/>
        </w:rPr>
        <w:t>.</w:t>
      </w:r>
    </w:p>
    <w:p w14:paraId="0021818E" w14:textId="77777777" w:rsidR="007969DF" w:rsidRPr="0064618D" w:rsidRDefault="007969DF" w:rsidP="007969DF">
      <w:pPr>
        <w:jc w:val="both"/>
        <w:rPr>
          <w:rFonts w:cstheme="minorHAnsi"/>
          <w:color w:val="000000"/>
          <w:sz w:val="22"/>
          <w:szCs w:val="22"/>
          <w:lang w:val="es-MX"/>
        </w:rPr>
      </w:pPr>
    </w:p>
    <w:p w14:paraId="2073C22F" w14:textId="77777777" w:rsidR="007969DF" w:rsidRPr="0064618D" w:rsidRDefault="007969DF" w:rsidP="007969DF">
      <w:pPr>
        <w:jc w:val="both"/>
        <w:rPr>
          <w:rFonts w:cstheme="minorHAnsi"/>
          <w:sz w:val="22"/>
          <w:szCs w:val="22"/>
          <w:lang w:val="es-ES"/>
        </w:rPr>
      </w:pPr>
      <w:r w:rsidRPr="0064618D">
        <w:rPr>
          <w:rFonts w:cstheme="minorHAnsi"/>
          <w:sz w:val="22"/>
          <w:szCs w:val="22"/>
          <w:lang w:val="es-ES"/>
        </w:rPr>
        <w:t xml:space="preserve">En este sentido hay que diferenciar el origen del carbono que se acumula en la atmósfera. Por una parte, tenemos el carbono </w:t>
      </w:r>
      <w:proofErr w:type="spellStart"/>
      <w:r w:rsidRPr="0064618D">
        <w:rPr>
          <w:rFonts w:cstheme="minorHAnsi"/>
          <w:sz w:val="22"/>
          <w:szCs w:val="22"/>
          <w:lang w:val="es-ES"/>
        </w:rPr>
        <w:t>biogénico</w:t>
      </w:r>
      <w:proofErr w:type="spellEnd"/>
      <w:r w:rsidRPr="0064618D">
        <w:rPr>
          <w:rFonts w:cstheme="minorHAnsi"/>
          <w:sz w:val="22"/>
          <w:szCs w:val="22"/>
          <w:lang w:val="es-ES"/>
        </w:rPr>
        <w:t xml:space="preserve">, es decir, </w:t>
      </w:r>
      <w:r>
        <w:rPr>
          <w:rFonts w:cstheme="minorHAnsi"/>
          <w:sz w:val="22"/>
          <w:szCs w:val="22"/>
          <w:lang w:val="es-ES"/>
        </w:rPr>
        <w:t xml:space="preserve">aquel </w:t>
      </w:r>
      <w:r w:rsidRPr="0064618D">
        <w:rPr>
          <w:rFonts w:cstheme="minorHAnsi"/>
          <w:sz w:val="22"/>
          <w:szCs w:val="22"/>
          <w:lang w:val="es-ES"/>
        </w:rPr>
        <w:t xml:space="preserve">que forma parte de un ciclo natural, y por otra </w:t>
      </w:r>
      <w:r>
        <w:rPr>
          <w:rFonts w:cstheme="minorHAnsi"/>
          <w:sz w:val="22"/>
          <w:szCs w:val="22"/>
          <w:lang w:val="es-ES"/>
        </w:rPr>
        <w:t xml:space="preserve">parte </w:t>
      </w:r>
      <w:r w:rsidRPr="0064618D">
        <w:rPr>
          <w:rFonts w:cstheme="minorHAnsi"/>
          <w:sz w:val="22"/>
          <w:szCs w:val="22"/>
          <w:lang w:val="es-ES"/>
        </w:rPr>
        <w:t xml:space="preserve">el carbono </w:t>
      </w:r>
      <w:r>
        <w:rPr>
          <w:rFonts w:cstheme="minorHAnsi"/>
          <w:sz w:val="22"/>
          <w:szCs w:val="22"/>
          <w:lang w:val="es-ES"/>
        </w:rPr>
        <w:t xml:space="preserve">de origen </w:t>
      </w:r>
      <w:r w:rsidRPr="0064618D">
        <w:rPr>
          <w:rFonts w:cstheme="minorHAnsi"/>
          <w:sz w:val="22"/>
          <w:szCs w:val="22"/>
          <w:lang w:val="es-ES"/>
        </w:rPr>
        <w:t>fósil. Esto es relevante pues como señalamos anteriormente el CO</w:t>
      </w:r>
      <w:r w:rsidRPr="0064618D">
        <w:rPr>
          <w:rFonts w:cstheme="minorHAnsi"/>
          <w:sz w:val="22"/>
          <w:szCs w:val="22"/>
          <w:vertAlign w:val="subscript"/>
          <w:lang w:val="es-ES"/>
        </w:rPr>
        <w:t>2</w:t>
      </w:r>
      <w:r w:rsidRPr="0064618D">
        <w:rPr>
          <w:rFonts w:cstheme="minorHAnsi"/>
          <w:sz w:val="22"/>
          <w:szCs w:val="22"/>
          <w:lang w:val="es-ES"/>
        </w:rPr>
        <w:t xml:space="preserve"> es un gas que se acumula en la atmósfera y en consecuencia genera mayor calentamiento</w:t>
      </w:r>
      <w:r>
        <w:rPr>
          <w:rFonts w:cstheme="minorHAnsi"/>
          <w:sz w:val="22"/>
          <w:szCs w:val="22"/>
          <w:lang w:val="es-ES"/>
        </w:rPr>
        <w:t>. P</w:t>
      </w:r>
      <w:r w:rsidRPr="0064618D">
        <w:rPr>
          <w:rFonts w:cstheme="minorHAnsi"/>
          <w:sz w:val="22"/>
          <w:szCs w:val="22"/>
          <w:lang w:val="es-ES"/>
        </w:rPr>
        <w:t xml:space="preserve">or ello las emisiones provenientes de combustibles fósiles son unidireccionales pues implica la acumulación de nuevo carbono que estuvo secuestrado en el subsuelo por cientos de miles años. En cambio, el carbono que forma parte de la molécula de metano es </w:t>
      </w:r>
      <w:proofErr w:type="spellStart"/>
      <w:r w:rsidRPr="0064618D">
        <w:rPr>
          <w:rFonts w:cstheme="minorHAnsi"/>
          <w:sz w:val="22"/>
          <w:szCs w:val="22"/>
          <w:lang w:val="es-ES"/>
        </w:rPr>
        <w:t>biogénico</w:t>
      </w:r>
      <w:proofErr w:type="spellEnd"/>
      <w:r w:rsidRPr="0064618D">
        <w:rPr>
          <w:rFonts w:cstheme="minorHAnsi"/>
          <w:sz w:val="22"/>
          <w:szCs w:val="22"/>
          <w:lang w:val="es-ES"/>
        </w:rPr>
        <w:t xml:space="preserve"> pues forma parte de un ciclo en el que el carbono liberado por el rumiante es posteriormente utilizado por las plantas en el proceso de fotosíntesis conformando parte de la biomasa aérea y subterránea, contribuyendo también al carbono secuestrado en el perfil de suelo. </w:t>
      </w:r>
    </w:p>
    <w:p w14:paraId="13ED5541" w14:textId="77777777" w:rsidR="007969DF" w:rsidRPr="0064618D" w:rsidRDefault="007969DF" w:rsidP="007969DF">
      <w:pPr>
        <w:jc w:val="both"/>
        <w:rPr>
          <w:rFonts w:cstheme="minorHAnsi"/>
          <w:color w:val="000000"/>
          <w:sz w:val="22"/>
          <w:szCs w:val="22"/>
          <w:lang w:val="es-MX"/>
        </w:rPr>
      </w:pPr>
      <w:r w:rsidRPr="0064618D">
        <w:rPr>
          <w:rFonts w:cstheme="minorHAnsi"/>
          <w:color w:val="000000"/>
          <w:sz w:val="22"/>
          <w:szCs w:val="22"/>
          <w:lang w:val="es-MX"/>
        </w:rPr>
        <w:t xml:space="preserve"> </w:t>
      </w:r>
    </w:p>
    <w:p w14:paraId="12EC47C1" w14:textId="77777777" w:rsidR="007969DF" w:rsidRPr="0064618D" w:rsidRDefault="007969DF" w:rsidP="007969DF">
      <w:pPr>
        <w:jc w:val="both"/>
        <w:rPr>
          <w:rFonts w:cstheme="minorHAnsi"/>
          <w:sz w:val="22"/>
          <w:szCs w:val="22"/>
          <w:lang w:val="es-ES"/>
        </w:rPr>
      </w:pPr>
      <w:r w:rsidRPr="0064618D">
        <w:rPr>
          <w:rFonts w:cstheme="minorHAnsi"/>
          <w:sz w:val="22"/>
          <w:szCs w:val="22"/>
          <w:lang w:val="es-ES"/>
        </w:rPr>
        <w:t xml:space="preserve">Figura 1. Metano en el ciclo del carbono (Adaptado </w:t>
      </w:r>
      <w:r w:rsidRPr="0064618D">
        <w:rPr>
          <w:rFonts w:cstheme="minorHAnsi"/>
          <w:color w:val="000000"/>
          <w:sz w:val="22"/>
          <w:szCs w:val="22"/>
          <w:lang w:val="es-MX"/>
        </w:rPr>
        <w:t>de Thompson and J. E. Rowntree, 2020)</w:t>
      </w:r>
      <w:r w:rsidRPr="0064618D">
        <w:rPr>
          <w:rFonts w:cstheme="minorHAnsi"/>
          <w:sz w:val="22"/>
          <w:szCs w:val="22"/>
          <w:lang w:val="es-ES"/>
        </w:rPr>
        <w:t>.</w:t>
      </w:r>
    </w:p>
    <w:p w14:paraId="0D895FE1" w14:textId="77777777" w:rsidR="007969DF" w:rsidRPr="0064618D" w:rsidRDefault="007969DF" w:rsidP="007969DF">
      <w:pPr>
        <w:jc w:val="both"/>
        <w:rPr>
          <w:rFonts w:cstheme="minorHAnsi"/>
          <w:lang w:val="es-ES"/>
        </w:rPr>
      </w:pPr>
      <w:r w:rsidRPr="0064618D">
        <w:rPr>
          <w:rFonts w:cstheme="minorHAnsi"/>
          <w:noProof/>
          <w:lang w:eastAsia="es-CL"/>
        </w:rPr>
        <w:drawing>
          <wp:inline distT="0" distB="0" distL="0" distR="0" wp14:anchorId="00DB675C" wp14:editId="7C18DAEF">
            <wp:extent cx="5612130" cy="349694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496945"/>
                    </a:xfrm>
                    <a:prstGeom prst="rect">
                      <a:avLst/>
                    </a:prstGeom>
                  </pic:spPr>
                </pic:pic>
              </a:graphicData>
            </a:graphic>
          </wp:inline>
        </w:drawing>
      </w:r>
    </w:p>
    <w:p w14:paraId="6A2FE705" w14:textId="77777777" w:rsidR="007969DF" w:rsidRPr="0064618D" w:rsidRDefault="007969DF" w:rsidP="007969DF">
      <w:pPr>
        <w:jc w:val="both"/>
        <w:rPr>
          <w:rFonts w:cstheme="minorHAnsi"/>
          <w:color w:val="000000"/>
          <w:lang w:val="es-MX"/>
        </w:rPr>
      </w:pPr>
    </w:p>
    <w:p w14:paraId="4ABE9211" w14:textId="77777777" w:rsidR="007969DF" w:rsidRPr="0064618D" w:rsidRDefault="007969DF" w:rsidP="007969DF">
      <w:pPr>
        <w:jc w:val="both"/>
        <w:rPr>
          <w:rFonts w:cstheme="minorHAnsi"/>
          <w:sz w:val="22"/>
          <w:szCs w:val="22"/>
          <w:lang w:val="es-ES"/>
        </w:rPr>
      </w:pPr>
      <w:r w:rsidRPr="0064618D">
        <w:rPr>
          <w:rFonts w:cstheme="minorHAnsi"/>
          <w:sz w:val="22"/>
          <w:szCs w:val="22"/>
          <w:lang w:val="es-ES"/>
        </w:rPr>
        <w:t>La relevancia del metano está dad</w:t>
      </w:r>
      <w:r>
        <w:rPr>
          <w:rFonts w:cstheme="minorHAnsi"/>
          <w:sz w:val="22"/>
          <w:szCs w:val="22"/>
          <w:lang w:val="es-ES"/>
        </w:rPr>
        <w:t>a</w:t>
      </w:r>
      <w:r w:rsidRPr="0064618D">
        <w:rPr>
          <w:rFonts w:cstheme="minorHAnsi"/>
          <w:sz w:val="22"/>
          <w:szCs w:val="22"/>
          <w:lang w:val="es-ES"/>
        </w:rPr>
        <w:t xml:space="preserve"> en gran medida por el poder de calentamiento que se le asigna (IPCC, 2006) y que generalmente se denomina Potenciales de Calentamiento Global (GWP)</w:t>
      </w:r>
      <w:r>
        <w:rPr>
          <w:rStyle w:val="Refdenotaalpie"/>
          <w:rFonts w:cstheme="minorHAnsi"/>
          <w:sz w:val="22"/>
          <w:szCs w:val="22"/>
          <w:lang w:val="es-ES"/>
        </w:rPr>
        <w:footnoteReference w:id="1"/>
      </w:r>
      <w:r w:rsidRPr="0064618D">
        <w:rPr>
          <w:rFonts w:cstheme="minorHAnsi"/>
          <w:sz w:val="22"/>
          <w:szCs w:val="22"/>
          <w:lang w:val="es-ES"/>
        </w:rPr>
        <w:t xml:space="preserve"> y se expresa como “CO</w:t>
      </w:r>
      <w:r w:rsidRPr="0064618D">
        <w:rPr>
          <w:rFonts w:cstheme="minorHAnsi"/>
          <w:sz w:val="22"/>
          <w:szCs w:val="22"/>
          <w:vertAlign w:val="subscript"/>
          <w:lang w:val="es-ES"/>
        </w:rPr>
        <w:t>2</w:t>
      </w:r>
      <w:r w:rsidRPr="0064618D">
        <w:rPr>
          <w:rFonts w:cstheme="minorHAnsi"/>
          <w:sz w:val="22"/>
          <w:szCs w:val="22"/>
          <w:lang w:val="es-ES"/>
        </w:rPr>
        <w:t>-equivalentes”. En general estas comparaciones se basan en GWP</w:t>
      </w:r>
      <w:r w:rsidRPr="0064618D">
        <w:rPr>
          <w:rFonts w:cstheme="minorHAnsi"/>
          <w:sz w:val="22"/>
          <w:szCs w:val="22"/>
          <w:vertAlign w:val="subscript"/>
          <w:lang w:val="es-ES"/>
        </w:rPr>
        <w:t>100</w:t>
      </w:r>
      <w:r w:rsidRPr="0064618D">
        <w:rPr>
          <w:rFonts w:cstheme="minorHAnsi"/>
          <w:sz w:val="22"/>
          <w:szCs w:val="22"/>
          <w:lang w:val="es-ES"/>
        </w:rPr>
        <w:t>(IPCC, 2006), es decir, el potencial de calentamiento global en 100 años, lo que simplemente equivale a una tonelada de metano (tCH</w:t>
      </w:r>
      <w:r w:rsidRPr="0064618D">
        <w:rPr>
          <w:rFonts w:cstheme="minorHAnsi"/>
          <w:sz w:val="22"/>
          <w:szCs w:val="22"/>
          <w:vertAlign w:val="subscript"/>
          <w:lang w:val="es-ES"/>
        </w:rPr>
        <w:t>4</w:t>
      </w:r>
      <w:r w:rsidRPr="0064618D">
        <w:rPr>
          <w:rFonts w:cstheme="minorHAnsi"/>
          <w:sz w:val="22"/>
          <w:szCs w:val="22"/>
          <w:lang w:val="es-ES"/>
        </w:rPr>
        <w:t>) con 28 toneladas de CO</w:t>
      </w:r>
      <w:r w:rsidRPr="0064618D">
        <w:rPr>
          <w:rFonts w:cstheme="minorHAnsi"/>
          <w:sz w:val="22"/>
          <w:szCs w:val="22"/>
          <w:vertAlign w:val="subscript"/>
          <w:lang w:val="es-ES"/>
        </w:rPr>
        <w:t>2</w:t>
      </w:r>
      <w:r w:rsidRPr="0064618D">
        <w:rPr>
          <w:rFonts w:cstheme="minorHAnsi"/>
          <w:sz w:val="22"/>
          <w:szCs w:val="22"/>
          <w:lang w:val="es-ES"/>
        </w:rPr>
        <w:t xml:space="preserve"> (tCO</w:t>
      </w:r>
      <w:r w:rsidRPr="003A1BEE">
        <w:rPr>
          <w:rFonts w:cstheme="minorHAnsi"/>
          <w:sz w:val="22"/>
          <w:szCs w:val="22"/>
          <w:vertAlign w:val="subscript"/>
          <w:lang w:val="es-ES"/>
        </w:rPr>
        <w:t>2</w:t>
      </w:r>
      <w:r w:rsidRPr="0064618D">
        <w:rPr>
          <w:rFonts w:cstheme="minorHAnsi"/>
          <w:sz w:val="22"/>
          <w:szCs w:val="22"/>
          <w:lang w:val="es-ES"/>
        </w:rPr>
        <w:t>). En algunas ocasiones se utiliza GWP</w:t>
      </w:r>
      <w:r w:rsidRPr="0064618D">
        <w:rPr>
          <w:rFonts w:cstheme="minorHAnsi"/>
          <w:sz w:val="22"/>
          <w:szCs w:val="22"/>
          <w:vertAlign w:val="subscript"/>
          <w:lang w:val="es-ES"/>
        </w:rPr>
        <w:t>20</w:t>
      </w:r>
      <w:r w:rsidRPr="0064618D">
        <w:rPr>
          <w:rFonts w:cstheme="minorHAnsi"/>
          <w:sz w:val="22"/>
          <w:szCs w:val="22"/>
          <w:lang w:val="es-ES"/>
        </w:rPr>
        <w:t xml:space="preserve"> (1 tCH</w:t>
      </w:r>
      <w:r w:rsidRPr="0064618D">
        <w:rPr>
          <w:rFonts w:cstheme="minorHAnsi"/>
          <w:sz w:val="22"/>
          <w:szCs w:val="22"/>
          <w:vertAlign w:val="subscript"/>
          <w:lang w:val="es-ES"/>
        </w:rPr>
        <w:t>4</w:t>
      </w:r>
      <w:r w:rsidRPr="0064618D">
        <w:rPr>
          <w:rFonts w:cstheme="minorHAnsi"/>
          <w:sz w:val="22"/>
          <w:szCs w:val="22"/>
          <w:lang w:val="es-ES"/>
        </w:rPr>
        <w:t xml:space="preserve"> = 84 tCO</w:t>
      </w:r>
      <w:r w:rsidRPr="0064618D">
        <w:rPr>
          <w:rFonts w:cstheme="minorHAnsi"/>
          <w:sz w:val="22"/>
          <w:szCs w:val="22"/>
          <w:vertAlign w:val="subscript"/>
          <w:lang w:val="es-ES"/>
        </w:rPr>
        <w:t>2</w:t>
      </w:r>
      <w:r w:rsidRPr="0064618D">
        <w:rPr>
          <w:rFonts w:cstheme="minorHAnsi"/>
          <w:sz w:val="22"/>
          <w:szCs w:val="22"/>
          <w:lang w:val="es-ES"/>
        </w:rPr>
        <w:t xml:space="preserve">). Sin embargo, Allen y </w:t>
      </w:r>
      <w:r>
        <w:rPr>
          <w:rFonts w:cstheme="minorHAnsi"/>
          <w:sz w:val="22"/>
          <w:szCs w:val="22"/>
          <w:lang w:val="es-ES"/>
        </w:rPr>
        <w:t xml:space="preserve">sus colaboradores </w:t>
      </w:r>
      <w:r w:rsidRPr="0064618D">
        <w:rPr>
          <w:rFonts w:cstheme="minorHAnsi"/>
          <w:sz w:val="22"/>
          <w:szCs w:val="22"/>
          <w:lang w:val="es-ES"/>
        </w:rPr>
        <w:t>(2018) plantean que ni GWP</w:t>
      </w:r>
      <w:r w:rsidRPr="0064618D">
        <w:rPr>
          <w:rFonts w:cstheme="minorHAnsi"/>
          <w:sz w:val="22"/>
          <w:szCs w:val="22"/>
          <w:vertAlign w:val="subscript"/>
          <w:lang w:val="es-ES"/>
        </w:rPr>
        <w:t>100</w:t>
      </w:r>
      <w:r w:rsidRPr="00BD4614">
        <w:rPr>
          <w:rFonts w:cstheme="minorHAnsi"/>
          <w:sz w:val="22"/>
          <w:szCs w:val="22"/>
          <w:lang w:val="es-ES"/>
        </w:rPr>
        <w:t>,</w:t>
      </w:r>
      <w:r w:rsidRPr="0064618D">
        <w:rPr>
          <w:rFonts w:cstheme="minorHAnsi"/>
          <w:sz w:val="22"/>
          <w:szCs w:val="22"/>
          <w:lang w:val="es-ES"/>
        </w:rPr>
        <w:t xml:space="preserve"> ni</w:t>
      </w:r>
      <w:r>
        <w:rPr>
          <w:rFonts w:cstheme="minorHAnsi"/>
          <w:sz w:val="22"/>
          <w:szCs w:val="22"/>
          <w:lang w:val="es-ES"/>
        </w:rPr>
        <w:t xml:space="preserve"> tampoco</w:t>
      </w:r>
      <w:r w:rsidRPr="0064618D">
        <w:rPr>
          <w:rFonts w:cstheme="minorHAnsi"/>
          <w:sz w:val="22"/>
          <w:szCs w:val="22"/>
          <w:lang w:val="es-ES"/>
        </w:rPr>
        <w:t xml:space="preserve"> GWP</w:t>
      </w:r>
      <w:r w:rsidRPr="0064618D">
        <w:rPr>
          <w:rFonts w:cstheme="minorHAnsi"/>
          <w:sz w:val="22"/>
          <w:szCs w:val="22"/>
          <w:vertAlign w:val="subscript"/>
          <w:lang w:val="es-ES"/>
        </w:rPr>
        <w:t>20</w:t>
      </w:r>
      <w:r w:rsidRPr="0064618D">
        <w:rPr>
          <w:rFonts w:cstheme="minorHAnsi"/>
          <w:sz w:val="22"/>
          <w:szCs w:val="22"/>
          <w:lang w:val="es-ES"/>
        </w:rPr>
        <w:t xml:space="preserve"> explican el comportamiento muy diferente del CH</w:t>
      </w:r>
      <w:r w:rsidRPr="0064618D">
        <w:rPr>
          <w:rFonts w:cstheme="minorHAnsi"/>
          <w:sz w:val="22"/>
          <w:szCs w:val="22"/>
          <w:vertAlign w:val="subscript"/>
          <w:lang w:val="es-ES"/>
        </w:rPr>
        <w:t>4</w:t>
      </w:r>
      <w:r w:rsidRPr="0064618D">
        <w:rPr>
          <w:rFonts w:cstheme="minorHAnsi"/>
          <w:sz w:val="22"/>
          <w:szCs w:val="22"/>
          <w:lang w:val="es-ES"/>
        </w:rPr>
        <w:t xml:space="preserve"> y el CO</w:t>
      </w:r>
      <w:r w:rsidRPr="0064618D">
        <w:rPr>
          <w:rFonts w:cstheme="minorHAnsi"/>
          <w:sz w:val="22"/>
          <w:szCs w:val="22"/>
          <w:vertAlign w:val="subscript"/>
          <w:lang w:val="es-ES"/>
        </w:rPr>
        <w:t>2</w:t>
      </w:r>
      <w:r w:rsidRPr="0064618D">
        <w:rPr>
          <w:rFonts w:cstheme="minorHAnsi"/>
          <w:sz w:val="22"/>
          <w:szCs w:val="22"/>
          <w:lang w:val="es-ES"/>
        </w:rPr>
        <w:t>. Por ello junto a su grupo de investigadores han planteado que la actual metodología</w:t>
      </w:r>
      <w:r>
        <w:rPr>
          <w:rFonts w:cstheme="minorHAnsi"/>
          <w:sz w:val="22"/>
          <w:szCs w:val="22"/>
          <w:lang w:val="es-ES"/>
        </w:rPr>
        <w:t xml:space="preserve">, es decir </w:t>
      </w:r>
      <w:r w:rsidRPr="0064618D">
        <w:rPr>
          <w:rFonts w:cstheme="minorHAnsi"/>
          <w:sz w:val="22"/>
          <w:szCs w:val="22"/>
          <w:lang w:val="es-ES"/>
        </w:rPr>
        <w:t>GWP</w:t>
      </w:r>
      <w:r w:rsidRPr="0064618D">
        <w:rPr>
          <w:rFonts w:cstheme="minorHAnsi"/>
          <w:sz w:val="22"/>
          <w:szCs w:val="22"/>
          <w:vertAlign w:val="subscript"/>
          <w:lang w:val="es-ES"/>
        </w:rPr>
        <w:t>100</w:t>
      </w:r>
      <w:r w:rsidRPr="001A5AA1">
        <w:rPr>
          <w:rFonts w:cstheme="minorHAnsi"/>
          <w:sz w:val="22"/>
          <w:szCs w:val="22"/>
          <w:lang w:val="es-ES"/>
        </w:rPr>
        <w:t>,</w:t>
      </w:r>
      <w:r>
        <w:rPr>
          <w:rFonts w:cstheme="minorHAnsi"/>
          <w:sz w:val="22"/>
          <w:szCs w:val="22"/>
          <w:vertAlign w:val="subscript"/>
          <w:lang w:val="es-ES"/>
        </w:rPr>
        <w:t xml:space="preserve"> </w:t>
      </w:r>
      <w:r w:rsidRPr="0064618D">
        <w:rPr>
          <w:rFonts w:cstheme="minorHAnsi"/>
          <w:sz w:val="22"/>
          <w:szCs w:val="22"/>
          <w:lang w:val="es-ES"/>
        </w:rPr>
        <w:t>tergiversa el real impacto del CH</w:t>
      </w:r>
      <w:r w:rsidRPr="0064618D">
        <w:rPr>
          <w:rFonts w:cstheme="minorHAnsi"/>
          <w:sz w:val="22"/>
          <w:szCs w:val="22"/>
          <w:vertAlign w:val="subscript"/>
          <w:lang w:val="es-ES"/>
        </w:rPr>
        <w:t>4</w:t>
      </w:r>
      <w:r w:rsidRPr="0064618D">
        <w:rPr>
          <w:rFonts w:cstheme="minorHAnsi"/>
          <w:sz w:val="22"/>
          <w:szCs w:val="22"/>
          <w:lang w:val="es-ES"/>
        </w:rPr>
        <w:t xml:space="preserve"> en el aumento de la temperatura global</w:t>
      </w:r>
      <w:r>
        <w:rPr>
          <w:rFonts w:cstheme="minorHAnsi"/>
          <w:sz w:val="22"/>
          <w:szCs w:val="22"/>
          <w:lang w:val="es-ES"/>
        </w:rPr>
        <w:t>, que es lo que realmente importa estimar</w:t>
      </w:r>
      <w:r w:rsidRPr="0064618D">
        <w:rPr>
          <w:rFonts w:cstheme="minorHAnsi"/>
          <w:sz w:val="22"/>
          <w:szCs w:val="22"/>
          <w:lang w:val="es-ES"/>
        </w:rPr>
        <w:t>. Estos investigadores propusieron una nueva metodología</w:t>
      </w:r>
      <w:r>
        <w:rPr>
          <w:rFonts w:cstheme="minorHAnsi"/>
          <w:sz w:val="22"/>
          <w:szCs w:val="22"/>
          <w:lang w:val="es-ES"/>
        </w:rPr>
        <w:t xml:space="preserve"> que denominaron </w:t>
      </w:r>
      <w:r w:rsidRPr="0064618D">
        <w:rPr>
          <w:rFonts w:cstheme="minorHAnsi"/>
          <w:sz w:val="22"/>
          <w:szCs w:val="22"/>
          <w:lang w:val="es-ES"/>
        </w:rPr>
        <w:t xml:space="preserve">GWP* </w:t>
      </w:r>
      <w:r>
        <w:rPr>
          <w:rFonts w:cstheme="minorHAnsi"/>
          <w:sz w:val="22"/>
          <w:szCs w:val="22"/>
          <w:lang w:val="es-ES"/>
        </w:rPr>
        <w:t xml:space="preserve">la </w:t>
      </w:r>
      <w:r w:rsidRPr="0064618D">
        <w:rPr>
          <w:rFonts w:cstheme="minorHAnsi"/>
          <w:sz w:val="22"/>
          <w:szCs w:val="22"/>
          <w:lang w:val="es-ES"/>
        </w:rPr>
        <w:t xml:space="preserve">cual corrige la </w:t>
      </w:r>
      <w:r w:rsidRPr="0064618D">
        <w:rPr>
          <w:rFonts w:cstheme="minorHAnsi"/>
          <w:sz w:val="22"/>
          <w:szCs w:val="22"/>
          <w:lang w:val="es-ES"/>
        </w:rPr>
        <w:lastRenderedPageBreak/>
        <w:t>contribución de gases de vida corta como el metano, indicando con precisión el impacto de las emisiones de contaminantes de gases tanto de vida corta como larga sobre el calentamiento y aumento de las temperaturas en una amplia gama de escalas de tiempo y escenarios de mitigación</w:t>
      </w:r>
      <w:r>
        <w:rPr>
          <w:rFonts w:cstheme="minorHAnsi"/>
          <w:sz w:val="22"/>
          <w:szCs w:val="22"/>
          <w:lang w:val="es-ES"/>
        </w:rPr>
        <w:t xml:space="preserve"> (Figura 2)</w:t>
      </w:r>
      <w:r w:rsidRPr="0064618D">
        <w:rPr>
          <w:rFonts w:cstheme="minorHAnsi"/>
          <w:sz w:val="22"/>
          <w:szCs w:val="22"/>
          <w:lang w:val="es-ES"/>
        </w:rPr>
        <w:t>.</w:t>
      </w:r>
    </w:p>
    <w:p w14:paraId="0BF67B8F" w14:textId="77777777" w:rsidR="007969DF" w:rsidRPr="0064618D" w:rsidRDefault="007969DF" w:rsidP="007969DF">
      <w:pPr>
        <w:rPr>
          <w:rFonts w:cstheme="minorHAnsi"/>
          <w:lang w:val="es-ES"/>
        </w:rPr>
      </w:pPr>
    </w:p>
    <w:p w14:paraId="09EEC736" w14:textId="77777777" w:rsidR="007969DF" w:rsidRPr="0064618D" w:rsidRDefault="007969DF" w:rsidP="007969DF">
      <w:pPr>
        <w:jc w:val="both"/>
        <w:rPr>
          <w:rFonts w:cstheme="minorHAnsi"/>
          <w:sz w:val="22"/>
          <w:szCs w:val="22"/>
          <w:lang w:val="es-ES"/>
        </w:rPr>
      </w:pPr>
      <w:r>
        <w:rPr>
          <w:rFonts w:cstheme="minorHAnsi"/>
          <w:sz w:val="22"/>
          <w:szCs w:val="22"/>
          <w:lang w:val="es-ES"/>
        </w:rPr>
        <w:t xml:space="preserve">En la </w:t>
      </w:r>
      <w:r w:rsidRPr="0064618D">
        <w:rPr>
          <w:rFonts w:cstheme="minorHAnsi"/>
          <w:sz w:val="22"/>
          <w:szCs w:val="22"/>
          <w:lang w:val="es-ES"/>
        </w:rPr>
        <w:t xml:space="preserve">Figura 2 </w:t>
      </w:r>
      <w:r>
        <w:rPr>
          <w:rFonts w:cstheme="minorHAnsi"/>
          <w:sz w:val="22"/>
          <w:szCs w:val="22"/>
          <w:lang w:val="es-ES"/>
        </w:rPr>
        <w:t xml:space="preserve">se presentan </w:t>
      </w:r>
      <w:r w:rsidRPr="0064618D">
        <w:rPr>
          <w:rFonts w:cstheme="minorHAnsi"/>
          <w:sz w:val="22"/>
          <w:szCs w:val="22"/>
          <w:lang w:val="es-ES"/>
        </w:rPr>
        <w:t>tres escenarios, cada uno a partir de una tasa de emisión de 1 tonelada de metano por año, aumentando en 25%, disminuyendo en 10% o bien 25% durante los próximos 30 años. El GWP</w:t>
      </w:r>
      <w:r w:rsidRPr="00187D48">
        <w:rPr>
          <w:rFonts w:cstheme="minorHAnsi"/>
          <w:sz w:val="22"/>
          <w:szCs w:val="22"/>
          <w:vertAlign w:val="subscript"/>
          <w:lang w:val="es-ES"/>
        </w:rPr>
        <w:t>100</w:t>
      </w:r>
      <w:r w:rsidRPr="0064618D">
        <w:rPr>
          <w:rFonts w:cstheme="minorHAnsi"/>
          <w:sz w:val="22"/>
          <w:szCs w:val="22"/>
          <w:lang w:val="es-ES"/>
        </w:rPr>
        <w:t xml:space="preserve"> convencional, que ignora el impacto de cambiar las tasas de emisión de metano, estima 980, 800 </w:t>
      </w:r>
      <w:r>
        <w:rPr>
          <w:rFonts w:cstheme="minorHAnsi"/>
          <w:sz w:val="22"/>
          <w:szCs w:val="22"/>
          <w:lang w:val="es-ES"/>
        </w:rPr>
        <w:t>y</w:t>
      </w:r>
      <w:r w:rsidRPr="0064618D">
        <w:rPr>
          <w:rFonts w:cstheme="minorHAnsi"/>
          <w:sz w:val="22"/>
          <w:szCs w:val="22"/>
          <w:lang w:val="es-ES"/>
        </w:rPr>
        <w:t xml:space="preserve"> 735 toneladas de CO</w:t>
      </w:r>
      <w:r w:rsidRPr="0064618D">
        <w:rPr>
          <w:rFonts w:cstheme="minorHAnsi"/>
          <w:sz w:val="22"/>
          <w:szCs w:val="22"/>
          <w:vertAlign w:val="subscript"/>
          <w:lang w:val="es-ES"/>
        </w:rPr>
        <w:t>2</w:t>
      </w:r>
      <w:r w:rsidRPr="0064618D">
        <w:rPr>
          <w:rFonts w:cstheme="minorHAnsi"/>
          <w:sz w:val="22"/>
          <w:szCs w:val="22"/>
          <w:lang w:val="es-ES"/>
        </w:rPr>
        <w:t xml:space="preserve"> durante ese período, respectivamente (</w:t>
      </w:r>
      <w:r>
        <w:rPr>
          <w:rFonts w:cstheme="minorHAnsi"/>
          <w:sz w:val="22"/>
          <w:szCs w:val="22"/>
          <w:lang w:val="es-ES"/>
        </w:rPr>
        <w:t>sector central de la figura</w:t>
      </w:r>
      <w:r w:rsidRPr="0064618D">
        <w:rPr>
          <w:rFonts w:cstheme="minorHAnsi"/>
          <w:sz w:val="22"/>
          <w:szCs w:val="22"/>
          <w:lang w:val="es-ES"/>
        </w:rPr>
        <w:t>). En cambio, el GWP</w:t>
      </w:r>
      <w:r w:rsidRPr="005E6D4A">
        <w:rPr>
          <w:rFonts w:cstheme="minorHAnsi"/>
          <w:sz w:val="22"/>
          <w:szCs w:val="22"/>
          <w:vertAlign w:val="superscript"/>
          <w:lang w:val="es-ES"/>
        </w:rPr>
        <w:t>*</w:t>
      </w:r>
      <w:r w:rsidRPr="0064618D">
        <w:rPr>
          <w:rFonts w:cstheme="minorHAnsi"/>
          <w:sz w:val="22"/>
          <w:szCs w:val="22"/>
          <w:lang w:val="es-ES"/>
        </w:rPr>
        <w:t xml:space="preserve"> (</w:t>
      </w:r>
      <w:r>
        <w:rPr>
          <w:rFonts w:cstheme="minorHAnsi"/>
          <w:sz w:val="22"/>
          <w:szCs w:val="22"/>
          <w:lang w:val="es-ES"/>
        </w:rPr>
        <w:t xml:space="preserve">sector </w:t>
      </w:r>
      <w:r w:rsidRPr="0064618D">
        <w:rPr>
          <w:rFonts w:cstheme="minorHAnsi"/>
          <w:sz w:val="22"/>
          <w:szCs w:val="22"/>
          <w:lang w:val="es-ES"/>
        </w:rPr>
        <w:t>derech</w:t>
      </w:r>
      <w:r>
        <w:rPr>
          <w:rFonts w:cstheme="minorHAnsi"/>
          <w:sz w:val="22"/>
          <w:szCs w:val="22"/>
          <w:lang w:val="es-ES"/>
        </w:rPr>
        <w:t>o de la figura</w:t>
      </w:r>
      <w:r w:rsidRPr="0064618D">
        <w:rPr>
          <w:rFonts w:cstheme="minorHAnsi"/>
          <w:sz w:val="22"/>
          <w:szCs w:val="22"/>
          <w:lang w:val="es-ES"/>
        </w:rPr>
        <w:t>), representan de mejor manera el impacto de las emisiones de metano en las temperaturas globales, se aprecia un valor similar en el escenario de aumento emisiones con 945 tCO</w:t>
      </w:r>
      <w:r w:rsidRPr="005E6D4A">
        <w:rPr>
          <w:rFonts w:cstheme="minorHAnsi"/>
          <w:sz w:val="22"/>
          <w:szCs w:val="22"/>
          <w:vertAlign w:val="subscript"/>
          <w:lang w:val="es-ES"/>
        </w:rPr>
        <w:t>2</w:t>
      </w:r>
      <w:r w:rsidRPr="0064618D">
        <w:rPr>
          <w:rFonts w:cstheme="minorHAnsi"/>
          <w:sz w:val="22"/>
          <w:szCs w:val="22"/>
          <w:lang w:val="es-ES"/>
        </w:rPr>
        <w:t xml:space="preserve"> emitidas durante el mismo período, pero el 75% de este impacto se debe a la tasa creciente, no al nivel inicial, de emisiones de metano. Una disminución del 10% en la tasa de emisión de metano durante 30 años es suficiente para compensar completamente su nivel inicial, de modo que este escenario tiene el mismo impacto en la temperatura global que cero emisiones de CO</w:t>
      </w:r>
      <w:r w:rsidRPr="0064618D">
        <w:rPr>
          <w:rFonts w:cstheme="minorHAnsi"/>
          <w:sz w:val="22"/>
          <w:szCs w:val="22"/>
          <w:vertAlign w:val="subscript"/>
          <w:lang w:val="es-ES"/>
        </w:rPr>
        <w:t>2</w:t>
      </w:r>
      <w:r w:rsidRPr="0064618D">
        <w:rPr>
          <w:rFonts w:cstheme="minorHAnsi"/>
          <w:sz w:val="22"/>
          <w:szCs w:val="22"/>
          <w:lang w:val="es-ES"/>
        </w:rPr>
        <w:t xml:space="preserve"> durante este período. Finalmente, una disminución del 25% provocaría un enfriamiento equivalente a la eliminación activa de 420 tCO</w:t>
      </w:r>
      <w:r w:rsidRPr="0064618D">
        <w:rPr>
          <w:rFonts w:cstheme="minorHAnsi"/>
          <w:sz w:val="22"/>
          <w:szCs w:val="22"/>
          <w:vertAlign w:val="subscript"/>
          <w:lang w:val="es-ES"/>
        </w:rPr>
        <w:t>2</w:t>
      </w:r>
      <w:r w:rsidRPr="0064618D">
        <w:rPr>
          <w:rFonts w:cstheme="minorHAnsi"/>
          <w:sz w:val="22"/>
          <w:szCs w:val="22"/>
          <w:lang w:val="es-ES"/>
        </w:rPr>
        <w:t xml:space="preserve"> de la atmósfera.</w:t>
      </w:r>
    </w:p>
    <w:p w14:paraId="285D272E" w14:textId="77777777" w:rsidR="007969DF" w:rsidRPr="0064618D" w:rsidRDefault="007969DF" w:rsidP="007969DF">
      <w:pPr>
        <w:rPr>
          <w:rFonts w:cstheme="minorHAnsi"/>
          <w:sz w:val="22"/>
          <w:szCs w:val="22"/>
          <w:lang w:val="es-ES"/>
        </w:rPr>
      </w:pPr>
    </w:p>
    <w:p w14:paraId="18B4CAE8" w14:textId="77777777" w:rsidR="007969DF" w:rsidRPr="0064618D" w:rsidRDefault="007969DF" w:rsidP="007969DF">
      <w:pPr>
        <w:rPr>
          <w:rFonts w:cstheme="minorHAnsi"/>
          <w:sz w:val="22"/>
          <w:szCs w:val="22"/>
          <w:lang w:val="es-ES"/>
        </w:rPr>
      </w:pPr>
      <w:r w:rsidRPr="0064618D">
        <w:rPr>
          <w:rFonts w:cstheme="minorHAnsi"/>
          <w:sz w:val="22"/>
          <w:szCs w:val="22"/>
          <w:lang w:val="es-ES"/>
        </w:rPr>
        <w:t>Figura 2. Efecto de las emisiones y poder de calentamiento de metano bajo tres escenarios (Adaptado de Allen et al., 2018).</w:t>
      </w:r>
    </w:p>
    <w:p w14:paraId="6AD8ECC9" w14:textId="77777777" w:rsidR="007969DF" w:rsidRPr="0064618D" w:rsidRDefault="007969DF" w:rsidP="007969DF">
      <w:pPr>
        <w:rPr>
          <w:rFonts w:cstheme="minorHAnsi"/>
          <w:lang w:val="es-ES"/>
        </w:rPr>
      </w:pPr>
      <w:r w:rsidRPr="0064618D">
        <w:rPr>
          <w:rFonts w:cstheme="minorHAnsi"/>
          <w:noProof/>
          <w:lang w:eastAsia="es-CL"/>
        </w:rPr>
        <w:drawing>
          <wp:inline distT="0" distB="0" distL="0" distR="0" wp14:anchorId="6093EA99" wp14:editId="259BEAFE">
            <wp:extent cx="4150765" cy="3649649"/>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2153" cy="3677248"/>
                    </a:xfrm>
                    <a:prstGeom prst="rect">
                      <a:avLst/>
                    </a:prstGeom>
                  </pic:spPr>
                </pic:pic>
              </a:graphicData>
            </a:graphic>
          </wp:inline>
        </w:drawing>
      </w:r>
    </w:p>
    <w:p w14:paraId="1F00D84D" w14:textId="77777777" w:rsidR="007969DF" w:rsidRPr="0064618D" w:rsidRDefault="007969DF" w:rsidP="007969DF">
      <w:pPr>
        <w:rPr>
          <w:rFonts w:cstheme="minorHAnsi"/>
          <w:lang w:val="es-ES"/>
        </w:rPr>
      </w:pPr>
    </w:p>
    <w:p w14:paraId="7E76D06B" w14:textId="77777777" w:rsidR="007969DF" w:rsidRPr="0064618D" w:rsidRDefault="007969DF" w:rsidP="007969DF">
      <w:pPr>
        <w:snapToGrid w:val="0"/>
        <w:spacing w:after="120" w:line="276" w:lineRule="auto"/>
        <w:jc w:val="both"/>
        <w:rPr>
          <w:rFonts w:cstheme="minorHAnsi"/>
          <w:sz w:val="20"/>
          <w:szCs w:val="20"/>
          <w:u w:val="single"/>
        </w:rPr>
      </w:pPr>
      <w:r w:rsidRPr="0064618D">
        <w:rPr>
          <w:rFonts w:cstheme="minorHAnsi"/>
          <w:sz w:val="20"/>
          <w:szCs w:val="20"/>
          <w:u w:val="single"/>
        </w:rPr>
        <w:t>Literatura</w:t>
      </w:r>
    </w:p>
    <w:p w14:paraId="2F269FE5" w14:textId="77777777" w:rsidR="007969DF" w:rsidRPr="0064618D" w:rsidRDefault="007969DF" w:rsidP="007969DF">
      <w:pPr>
        <w:snapToGrid w:val="0"/>
        <w:spacing w:after="60"/>
        <w:rPr>
          <w:rFonts w:cstheme="minorHAnsi"/>
          <w:sz w:val="16"/>
          <w:szCs w:val="16"/>
          <w:lang w:val="en-US"/>
        </w:rPr>
      </w:pPr>
      <w:r w:rsidRPr="0064618D">
        <w:rPr>
          <w:rFonts w:cstheme="minorHAnsi"/>
          <w:sz w:val="16"/>
          <w:szCs w:val="16"/>
          <w:lang w:val="es-ES"/>
        </w:rPr>
        <w:t xml:space="preserve">Allen, M., </w:t>
      </w:r>
      <w:proofErr w:type="spellStart"/>
      <w:r w:rsidRPr="0064618D">
        <w:rPr>
          <w:rFonts w:cstheme="minorHAnsi"/>
          <w:sz w:val="16"/>
          <w:szCs w:val="16"/>
          <w:lang w:val="es-ES"/>
        </w:rPr>
        <w:t>Fuglestvedt</w:t>
      </w:r>
      <w:proofErr w:type="spellEnd"/>
      <w:r w:rsidRPr="0064618D">
        <w:rPr>
          <w:rFonts w:cstheme="minorHAnsi"/>
          <w:sz w:val="16"/>
          <w:szCs w:val="16"/>
          <w:lang w:val="es-ES"/>
        </w:rPr>
        <w:t xml:space="preserve">, J., </w:t>
      </w:r>
      <w:proofErr w:type="spellStart"/>
      <w:r w:rsidRPr="0064618D">
        <w:rPr>
          <w:rFonts w:cstheme="minorHAnsi"/>
          <w:sz w:val="16"/>
          <w:szCs w:val="16"/>
          <w:lang w:val="es-ES"/>
        </w:rPr>
        <w:t>Shine</w:t>
      </w:r>
      <w:proofErr w:type="spellEnd"/>
      <w:r w:rsidRPr="0064618D">
        <w:rPr>
          <w:rFonts w:cstheme="minorHAnsi"/>
          <w:sz w:val="16"/>
          <w:szCs w:val="16"/>
          <w:lang w:val="es-ES"/>
        </w:rPr>
        <w:t xml:space="preserve">, K. et al. </w:t>
      </w:r>
      <w:r w:rsidRPr="0064618D">
        <w:rPr>
          <w:rFonts w:cstheme="minorHAnsi"/>
          <w:sz w:val="16"/>
          <w:szCs w:val="16"/>
          <w:lang w:val="en-US"/>
        </w:rPr>
        <w:t xml:space="preserve">New use of global warming potentials to compare cumulative and short-lived climate pollutants. Nature </w:t>
      </w:r>
      <w:proofErr w:type="spellStart"/>
      <w:r w:rsidRPr="0064618D">
        <w:rPr>
          <w:rFonts w:cstheme="minorHAnsi"/>
          <w:sz w:val="16"/>
          <w:szCs w:val="16"/>
          <w:lang w:val="en-US"/>
        </w:rPr>
        <w:t>Clim</w:t>
      </w:r>
      <w:proofErr w:type="spellEnd"/>
      <w:r w:rsidRPr="0064618D">
        <w:rPr>
          <w:rFonts w:cstheme="minorHAnsi"/>
          <w:sz w:val="16"/>
          <w:szCs w:val="16"/>
          <w:lang w:val="en-US"/>
        </w:rPr>
        <w:t xml:space="preserve"> Change 6, 773–776 (2016). https://doi.org/10.1038/nclimate2998</w:t>
      </w:r>
    </w:p>
    <w:p w14:paraId="77D0D3F4" w14:textId="77777777" w:rsidR="007969DF" w:rsidRPr="0064618D" w:rsidRDefault="007969DF" w:rsidP="007969DF">
      <w:pPr>
        <w:snapToGrid w:val="0"/>
        <w:spacing w:after="60"/>
        <w:rPr>
          <w:rFonts w:cstheme="minorHAnsi"/>
          <w:sz w:val="16"/>
          <w:szCs w:val="16"/>
          <w:lang w:val="en-US"/>
        </w:rPr>
      </w:pPr>
      <w:r w:rsidRPr="0064618D">
        <w:rPr>
          <w:rFonts w:cstheme="minorHAnsi"/>
          <w:sz w:val="16"/>
          <w:szCs w:val="16"/>
          <w:lang w:val="en-US"/>
        </w:rPr>
        <w:t xml:space="preserve">Cain, M., Lynch, J., Allen, M.R. et al. Improved calculation of warming-equivalent emissions for short-lived climate pollutants. </w:t>
      </w:r>
      <w:proofErr w:type="spellStart"/>
      <w:r w:rsidRPr="0064618D">
        <w:rPr>
          <w:rFonts w:cstheme="minorHAnsi"/>
          <w:sz w:val="16"/>
          <w:szCs w:val="16"/>
          <w:lang w:val="en-US"/>
        </w:rPr>
        <w:t>npj</w:t>
      </w:r>
      <w:proofErr w:type="spellEnd"/>
      <w:r w:rsidRPr="0064618D">
        <w:rPr>
          <w:rFonts w:cstheme="minorHAnsi"/>
          <w:sz w:val="16"/>
          <w:szCs w:val="16"/>
          <w:lang w:val="en-US"/>
        </w:rPr>
        <w:t xml:space="preserve"> </w:t>
      </w:r>
      <w:proofErr w:type="spellStart"/>
      <w:r w:rsidRPr="0064618D">
        <w:rPr>
          <w:rFonts w:cstheme="minorHAnsi"/>
          <w:sz w:val="16"/>
          <w:szCs w:val="16"/>
          <w:lang w:val="en-US"/>
        </w:rPr>
        <w:t>Clim</w:t>
      </w:r>
      <w:proofErr w:type="spellEnd"/>
      <w:r w:rsidRPr="0064618D">
        <w:rPr>
          <w:rFonts w:cstheme="minorHAnsi"/>
          <w:sz w:val="16"/>
          <w:szCs w:val="16"/>
          <w:lang w:val="en-US"/>
        </w:rPr>
        <w:t xml:space="preserve"> Atmos Sci 2, 29 (2019). https://doi.org/10.1038/s41612-019-0086-4</w:t>
      </w:r>
    </w:p>
    <w:p w14:paraId="0684AF8E" w14:textId="21602796" w:rsidR="00F50D0C" w:rsidRDefault="007969DF" w:rsidP="007969DF">
      <w:r w:rsidRPr="0064618D">
        <w:rPr>
          <w:rFonts w:cstheme="minorHAnsi"/>
          <w:sz w:val="16"/>
          <w:szCs w:val="16"/>
          <w:lang w:val="en-US"/>
        </w:rPr>
        <w:lastRenderedPageBreak/>
        <w:t>Thompson, LR and JE Rowntree. 2020. Invited Review: Methane sources, quantification, and mitigation in grazing beef systems": https://www.sciencedirect.com/science/article/pii/S259028652030094X https://doi.org/10.15232/aas.2019-01951</w:t>
      </w:r>
    </w:p>
    <w:sectPr w:rsidR="00F50D0C" w:rsidSect="004238A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A01D" w14:textId="77777777" w:rsidR="00964E82" w:rsidRDefault="00964E82" w:rsidP="003B30CB">
      <w:r>
        <w:separator/>
      </w:r>
    </w:p>
  </w:endnote>
  <w:endnote w:type="continuationSeparator" w:id="0">
    <w:p w14:paraId="0BC0B604" w14:textId="77777777" w:rsidR="00964E82" w:rsidRDefault="00964E82" w:rsidP="003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24AC" w14:textId="77777777" w:rsidR="00964E82" w:rsidRDefault="00964E82" w:rsidP="003B30CB">
      <w:r>
        <w:separator/>
      </w:r>
    </w:p>
  </w:footnote>
  <w:footnote w:type="continuationSeparator" w:id="0">
    <w:p w14:paraId="412372E7" w14:textId="77777777" w:rsidR="00964E82" w:rsidRDefault="00964E82" w:rsidP="003B30CB">
      <w:r>
        <w:continuationSeparator/>
      </w:r>
    </w:p>
  </w:footnote>
  <w:footnote w:id="1">
    <w:p w14:paraId="6992CBF7" w14:textId="77777777" w:rsidR="007969DF" w:rsidRPr="00BD4614" w:rsidRDefault="007969DF" w:rsidP="007969DF">
      <w:pPr>
        <w:pStyle w:val="Textonotapie"/>
        <w:rPr>
          <w:lang w:val="es-ES"/>
        </w:rPr>
      </w:pPr>
      <w:r>
        <w:rPr>
          <w:rStyle w:val="Refdenotaalpie"/>
        </w:rPr>
        <w:footnoteRef/>
      </w:r>
      <w:r>
        <w:t xml:space="preserve"> El potencial de calentamiento global (GWP) está dado por la capacidad de un gas de absorber radiación y del tiempo de permanencia en la atmósfera.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157" w14:textId="1049535A" w:rsidR="003B30CB" w:rsidRDefault="003B30CB" w:rsidP="003B30CB">
    <w:pPr>
      <w:pStyle w:val="Encabezado"/>
      <w:jc w:val="right"/>
    </w:pPr>
    <w:r>
      <w:rPr>
        <w:noProof/>
      </w:rPr>
      <w:drawing>
        <wp:inline distT="0" distB="0" distL="0" distR="0" wp14:anchorId="680F4D0E" wp14:editId="6EB9DCB5">
          <wp:extent cx="1726058" cy="35384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11020" cy="37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B3B"/>
    <w:multiLevelType w:val="hybridMultilevel"/>
    <w:tmpl w:val="84A42D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5E93ABB"/>
    <w:multiLevelType w:val="hybridMultilevel"/>
    <w:tmpl w:val="5D5E513C"/>
    <w:lvl w:ilvl="0" w:tplc="931E850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CB"/>
    <w:rsid w:val="00264721"/>
    <w:rsid w:val="003B30CB"/>
    <w:rsid w:val="00407E86"/>
    <w:rsid w:val="007969DF"/>
    <w:rsid w:val="008C4A48"/>
    <w:rsid w:val="00964E82"/>
    <w:rsid w:val="00DB223B"/>
    <w:rsid w:val="00F50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4DBFB11"/>
  <w15:chartTrackingRefBased/>
  <w15:docId w15:val="{3FCE40E4-EFB4-C54E-BCFB-9A131C69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30CB"/>
    <w:pPr>
      <w:ind w:left="720"/>
      <w:contextualSpacing/>
    </w:pPr>
  </w:style>
  <w:style w:type="character" w:styleId="Hipervnculo">
    <w:name w:val="Hyperlink"/>
    <w:basedOn w:val="Fuentedeprrafopredeter"/>
    <w:uiPriority w:val="99"/>
    <w:unhideWhenUsed/>
    <w:rsid w:val="003B30CB"/>
    <w:rPr>
      <w:color w:val="0563C1" w:themeColor="hyperlink"/>
      <w:u w:val="single"/>
    </w:rPr>
  </w:style>
  <w:style w:type="paragraph" w:styleId="Encabezado">
    <w:name w:val="header"/>
    <w:basedOn w:val="Normal"/>
    <w:link w:val="EncabezadoCar"/>
    <w:uiPriority w:val="99"/>
    <w:unhideWhenUsed/>
    <w:rsid w:val="003B30CB"/>
    <w:pPr>
      <w:tabs>
        <w:tab w:val="center" w:pos="4252"/>
        <w:tab w:val="right" w:pos="8504"/>
      </w:tabs>
    </w:pPr>
  </w:style>
  <w:style w:type="character" w:customStyle="1" w:styleId="EncabezadoCar">
    <w:name w:val="Encabezado Car"/>
    <w:basedOn w:val="Fuentedeprrafopredeter"/>
    <w:link w:val="Encabezado"/>
    <w:uiPriority w:val="99"/>
    <w:rsid w:val="003B30CB"/>
  </w:style>
  <w:style w:type="paragraph" w:styleId="Piedepgina">
    <w:name w:val="footer"/>
    <w:basedOn w:val="Normal"/>
    <w:link w:val="PiedepginaCar"/>
    <w:uiPriority w:val="99"/>
    <w:unhideWhenUsed/>
    <w:rsid w:val="003B30CB"/>
    <w:pPr>
      <w:tabs>
        <w:tab w:val="center" w:pos="4252"/>
        <w:tab w:val="right" w:pos="8504"/>
      </w:tabs>
    </w:pPr>
  </w:style>
  <w:style w:type="character" w:customStyle="1" w:styleId="PiedepginaCar">
    <w:name w:val="Pie de página Car"/>
    <w:basedOn w:val="Fuentedeprrafopredeter"/>
    <w:link w:val="Piedepgina"/>
    <w:uiPriority w:val="99"/>
    <w:rsid w:val="003B30CB"/>
  </w:style>
  <w:style w:type="paragraph" w:styleId="Textonotapie">
    <w:name w:val="footnote text"/>
    <w:basedOn w:val="Normal"/>
    <w:link w:val="TextonotapieCar"/>
    <w:uiPriority w:val="99"/>
    <w:semiHidden/>
    <w:unhideWhenUsed/>
    <w:rsid w:val="007969DF"/>
    <w:rPr>
      <w:sz w:val="20"/>
      <w:szCs w:val="20"/>
    </w:rPr>
  </w:style>
  <w:style w:type="character" w:customStyle="1" w:styleId="TextonotapieCar">
    <w:name w:val="Texto nota pie Car"/>
    <w:basedOn w:val="Fuentedeprrafopredeter"/>
    <w:link w:val="Textonotapie"/>
    <w:uiPriority w:val="99"/>
    <w:semiHidden/>
    <w:rsid w:val="007969DF"/>
    <w:rPr>
      <w:sz w:val="20"/>
      <w:szCs w:val="20"/>
    </w:rPr>
  </w:style>
  <w:style w:type="character" w:styleId="Refdenotaalpie">
    <w:name w:val="footnote reference"/>
    <w:basedOn w:val="Fuentedeprrafopredeter"/>
    <w:uiPriority w:val="99"/>
    <w:semiHidden/>
    <w:unhideWhenUsed/>
    <w:rsid w:val="00796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etstalkscience.ca/educational-resources/stem-in-context/cows-methane-and-climate-cha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6730</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2021-07-26T22:02:00Z</dcterms:created>
  <dcterms:modified xsi:type="dcterms:W3CDTF">2021-07-26T22:02:00Z</dcterms:modified>
</cp:coreProperties>
</file>