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432" w14:textId="0ABEC3A0" w:rsidR="003B30CB" w:rsidRPr="003B30CB" w:rsidRDefault="003B30CB" w:rsidP="003B30CB">
      <w:pPr>
        <w:pStyle w:val="Prrafodelista"/>
        <w:ind w:left="0"/>
        <w:rPr>
          <w:rFonts w:cstheme="minorHAnsi"/>
          <w:b/>
          <w:bCs/>
          <w:sz w:val="40"/>
          <w:szCs w:val="40"/>
          <w:lang w:val="es-ES"/>
        </w:rPr>
      </w:pPr>
      <w:r w:rsidRPr="003B30CB">
        <w:rPr>
          <w:rFonts w:cstheme="minorHAnsi"/>
          <w:b/>
          <w:bCs/>
          <w:sz w:val="40"/>
          <w:szCs w:val="40"/>
          <w:lang w:val="es-ES"/>
        </w:rPr>
        <w:t>SALUD Y MEDIO AMBIENTE</w:t>
      </w:r>
    </w:p>
    <w:p w14:paraId="351D44DE" w14:textId="77777777" w:rsidR="003B30CB" w:rsidRDefault="003B30CB" w:rsidP="003B30CB">
      <w:pPr>
        <w:pStyle w:val="Prrafodelista"/>
        <w:ind w:left="0"/>
        <w:rPr>
          <w:rFonts w:cstheme="minorHAnsi"/>
          <w:b/>
          <w:bCs/>
          <w:lang w:val="es-ES"/>
        </w:rPr>
      </w:pPr>
    </w:p>
    <w:p w14:paraId="5A94740F" w14:textId="77777777" w:rsidR="00645549" w:rsidRPr="00645549" w:rsidRDefault="00645549" w:rsidP="00645549">
      <w:pPr>
        <w:rPr>
          <w:rFonts w:cstheme="minorHAnsi"/>
          <w:b/>
          <w:bCs/>
          <w:lang w:val="es-ES"/>
        </w:rPr>
      </w:pPr>
      <w:bookmarkStart w:id="0" w:name="OLE_LINK1"/>
      <w:bookmarkStart w:id="1" w:name="OLE_LINK2"/>
      <w:r w:rsidRPr="00645549">
        <w:rPr>
          <w:rFonts w:cstheme="minorHAnsi"/>
          <w:b/>
          <w:bCs/>
          <w:lang w:val="es-ES"/>
        </w:rPr>
        <w:t>¿La producción de carne requiere de más recursos y suelo que otros alimentos?</w:t>
      </w:r>
    </w:p>
    <w:p w14:paraId="0C35501A" w14:textId="77777777" w:rsidR="00645549" w:rsidRPr="00645549" w:rsidRDefault="00645549" w:rsidP="00645549">
      <w:pPr>
        <w:rPr>
          <w:rFonts w:cstheme="minorHAnsi"/>
          <w:lang w:val="es-ES"/>
        </w:rPr>
      </w:pPr>
      <w:r w:rsidRPr="00645549">
        <w:rPr>
          <w:rFonts w:cstheme="minorHAnsi"/>
          <w:lang w:val="es-ES"/>
        </w:rPr>
        <w:t>(Responde Dr. Rodrigo Arias)</w:t>
      </w:r>
    </w:p>
    <w:p w14:paraId="744EA818" w14:textId="77777777" w:rsidR="00645549" w:rsidRPr="0064618D" w:rsidRDefault="00645549" w:rsidP="00645549">
      <w:pPr>
        <w:rPr>
          <w:rFonts w:cstheme="minorHAnsi"/>
          <w:b/>
          <w:bCs/>
          <w:lang w:val="es-ES"/>
        </w:rPr>
      </w:pPr>
    </w:p>
    <w:p w14:paraId="089398D5" w14:textId="77777777" w:rsidR="00645549" w:rsidRPr="0064618D" w:rsidRDefault="00645549" w:rsidP="00645549">
      <w:pPr>
        <w:snapToGrid w:val="0"/>
        <w:spacing w:after="240"/>
        <w:jc w:val="both"/>
        <w:rPr>
          <w:rFonts w:cstheme="minorHAnsi"/>
          <w:sz w:val="22"/>
          <w:szCs w:val="22"/>
          <w:lang w:val="es-ES"/>
        </w:rPr>
      </w:pPr>
      <w:r w:rsidRPr="0064618D">
        <w:rPr>
          <w:rFonts w:cstheme="minorHAnsi"/>
          <w:b/>
          <w:bCs/>
          <w:sz w:val="22"/>
          <w:szCs w:val="22"/>
          <w:lang w:val="es-ES"/>
        </w:rPr>
        <w:t>Respuesta corta</w:t>
      </w:r>
      <w:r w:rsidRPr="0064618D">
        <w:rPr>
          <w:rFonts w:cstheme="minorHAnsi"/>
          <w:sz w:val="22"/>
          <w:szCs w:val="22"/>
          <w:lang w:val="es-ES"/>
        </w:rPr>
        <w:t xml:space="preserve">: </w:t>
      </w:r>
      <w:r>
        <w:rPr>
          <w:rFonts w:cstheme="minorHAnsi"/>
          <w:sz w:val="22"/>
          <w:szCs w:val="22"/>
          <w:lang w:val="es-ES"/>
        </w:rPr>
        <w:t>La producción de carne no requiere de mas recursos ni suelo que la producción de otros alimentos, ya que cerca del 86% de la dieta de un rumiante (vacas-ovejas) corresponde a alimentos que no son aprovechables por el ser humano. Asimismo, mucha de la superficie en que pastorean no es apta para el cultivo, generando un producto de alta calidad nutricional y biodisponibilidad.</w:t>
      </w:r>
    </w:p>
    <w:p w14:paraId="215ADD73" w14:textId="77777777" w:rsidR="00645549" w:rsidRPr="0064618D" w:rsidRDefault="00645549" w:rsidP="00645549">
      <w:pPr>
        <w:jc w:val="both"/>
        <w:rPr>
          <w:rFonts w:cstheme="minorHAnsi"/>
          <w:sz w:val="22"/>
          <w:szCs w:val="22"/>
          <w:lang w:val="es-ES"/>
        </w:rPr>
      </w:pPr>
      <w:r w:rsidRPr="0064618D">
        <w:rPr>
          <w:rFonts w:cstheme="minorHAnsi"/>
          <w:b/>
          <w:bCs/>
          <w:sz w:val="22"/>
          <w:szCs w:val="22"/>
          <w:lang w:val="es-ES"/>
        </w:rPr>
        <w:t>Explicación extendida</w:t>
      </w:r>
      <w:r w:rsidRPr="0064618D">
        <w:rPr>
          <w:rFonts w:cstheme="minorHAnsi"/>
          <w:sz w:val="22"/>
          <w:szCs w:val="22"/>
          <w:lang w:val="es-ES"/>
        </w:rPr>
        <w:t xml:space="preserve">: En general se considera al rumiante como un animal poco eficiente que ocupa gran superficie de tierra para su producción.  Sin embargo, una mirada mas detallada señala que esto no es así. En efecto </w:t>
      </w:r>
      <w:proofErr w:type="spellStart"/>
      <w:r w:rsidRPr="0064618D">
        <w:rPr>
          <w:rFonts w:cstheme="minorHAnsi"/>
          <w:sz w:val="22"/>
          <w:szCs w:val="22"/>
          <w:lang w:val="es-ES"/>
        </w:rPr>
        <w:t>Mottet</w:t>
      </w:r>
      <w:proofErr w:type="spellEnd"/>
      <w:r w:rsidRPr="0064618D">
        <w:rPr>
          <w:rFonts w:cstheme="minorHAnsi"/>
          <w:sz w:val="22"/>
          <w:szCs w:val="22"/>
          <w:lang w:val="es-ES"/>
        </w:rPr>
        <w:t xml:space="preserve"> et al., (2017) compararon la eficiencia del ganado doméstico (rumiantes vs. cerdo y aves) en términos de consumo de alimento total por kilo de carne producida, en donde como se sabe las especies </w:t>
      </w:r>
      <w:proofErr w:type="spellStart"/>
      <w:r w:rsidRPr="0064618D">
        <w:rPr>
          <w:rFonts w:cstheme="minorHAnsi"/>
          <w:sz w:val="22"/>
          <w:szCs w:val="22"/>
          <w:lang w:val="es-ES"/>
        </w:rPr>
        <w:t>monogástricas</w:t>
      </w:r>
      <w:proofErr w:type="spellEnd"/>
      <w:r>
        <w:rPr>
          <w:rFonts w:cstheme="minorHAnsi"/>
          <w:sz w:val="22"/>
          <w:szCs w:val="22"/>
          <w:lang w:val="es-ES"/>
        </w:rPr>
        <w:t xml:space="preserve"> (cerdos y aves)</w:t>
      </w:r>
      <w:r w:rsidRPr="0064618D">
        <w:rPr>
          <w:rFonts w:cstheme="minorHAnsi"/>
          <w:sz w:val="22"/>
          <w:szCs w:val="22"/>
          <w:lang w:val="es-ES"/>
        </w:rPr>
        <w:t xml:space="preserve"> superan a los rumiantes. Sin embargo, cuando la comparación fue realizada en función de los kilos de alimento consumible por el hombre por kilo de carne o bien proteína producida, los rumiantes resultan ser 3,3 veces más eficientes. Esto se explica en gran medida por que los bovinos utilizan alimentos de bajo valor como lo son los forrajes, así como residuos agrícolas y agroindustriales (ver Figura 1).</w:t>
      </w:r>
    </w:p>
    <w:p w14:paraId="35EE55DA" w14:textId="77777777" w:rsidR="00645549" w:rsidRPr="0064618D" w:rsidRDefault="00645549" w:rsidP="00645549">
      <w:pPr>
        <w:rPr>
          <w:rFonts w:cstheme="minorHAnsi"/>
          <w:sz w:val="22"/>
          <w:szCs w:val="22"/>
          <w:lang w:val="es-ES"/>
        </w:rPr>
      </w:pPr>
      <w:r w:rsidRPr="0064618D">
        <w:rPr>
          <w:rFonts w:cstheme="minorHAnsi"/>
          <w:sz w:val="22"/>
          <w:szCs w:val="22"/>
          <w:lang w:val="es-ES"/>
        </w:rPr>
        <w:t xml:space="preserve"> </w:t>
      </w:r>
    </w:p>
    <w:p w14:paraId="13605434" w14:textId="77777777" w:rsidR="00645549" w:rsidRPr="0064618D" w:rsidRDefault="00645549" w:rsidP="00645549">
      <w:pPr>
        <w:spacing w:line="276" w:lineRule="auto"/>
        <w:jc w:val="both"/>
        <w:rPr>
          <w:rFonts w:cstheme="minorHAnsi"/>
          <w:sz w:val="22"/>
          <w:szCs w:val="22"/>
        </w:rPr>
      </w:pPr>
      <w:r w:rsidRPr="0064618D">
        <w:rPr>
          <w:rFonts w:cstheme="minorHAnsi"/>
          <w:noProof/>
          <w:sz w:val="22"/>
          <w:szCs w:val="22"/>
          <w:lang w:eastAsia="es-CL"/>
        </w:rPr>
        <w:drawing>
          <wp:inline distT="0" distB="0" distL="0" distR="0" wp14:anchorId="6EA34A4F" wp14:editId="0966AF9D">
            <wp:extent cx="5571067" cy="2200910"/>
            <wp:effectExtent l="0" t="0" r="4445" b="0"/>
            <wp:docPr id="34" name="Gráfico 34">
              <a:extLst xmlns:a="http://schemas.openxmlformats.org/drawingml/2006/main">
                <a:ext uri="{FF2B5EF4-FFF2-40B4-BE49-F238E27FC236}">
                  <a16:creationId xmlns:a16="http://schemas.microsoft.com/office/drawing/2014/main" id="{FFDAE26F-8AC4-2C42-9674-0CEC74D33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8B17B8" w14:textId="77777777" w:rsidR="00645549" w:rsidRPr="0064618D" w:rsidRDefault="00645549" w:rsidP="00645549">
      <w:pPr>
        <w:spacing w:line="276" w:lineRule="auto"/>
        <w:jc w:val="both"/>
        <w:rPr>
          <w:rFonts w:cstheme="minorHAnsi"/>
          <w:sz w:val="22"/>
          <w:szCs w:val="22"/>
        </w:rPr>
      </w:pPr>
      <w:r w:rsidRPr="0064618D">
        <w:rPr>
          <w:rFonts w:cstheme="minorHAnsi"/>
          <w:sz w:val="22"/>
          <w:szCs w:val="22"/>
        </w:rPr>
        <w:t>Figura 1. Composición mundial de la ración del ganado (</w:t>
      </w:r>
      <w:proofErr w:type="spellStart"/>
      <w:r w:rsidRPr="0064618D">
        <w:rPr>
          <w:rFonts w:cstheme="minorHAnsi"/>
          <w:sz w:val="22"/>
          <w:szCs w:val="22"/>
        </w:rPr>
        <w:t>Mottet</w:t>
      </w:r>
      <w:proofErr w:type="spellEnd"/>
      <w:r w:rsidRPr="0064618D">
        <w:rPr>
          <w:rFonts w:cstheme="minorHAnsi"/>
          <w:sz w:val="22"/>
          <w:szCs w:val="22"/>
        </w:rPr>
        <w:t xml:space="preserve"> et al, 2017).</w:t>
      </w:r>
    </w:p>
    <w:p w14:paraId="0019DCF7" w14:textId="77777777" w:rsidR="00645549" w:rsidRPr="0064618D" w:rsidRDefault="00645549" w:rsidP="00645549">
      <w:pPr>
        <w:rPr>
          <w:rFonts w:cstheme="minorHAnsi"/>
          <w:sz w:val="22"/>
          <w:szCs w:val="22"/>
          <w:lang w:val="es-ES"/>
        </w:rPr>
      </w:pPr>
    </w:p>
    <w:p w14:paraId="7B3EB197" w14:textId="77777777" w:rsidR="00645549" w:rsidRPr="0064618D" w:rsidRDefault="00645549" w:rsidP="00645549">
      <w:pPr>
        <w:ind w:firstLine="708"/>
        <w:jc w:val="both"/>
        <w:rPr>
          <w:rFonts w:cstheme="minorHAnsi"/>
          <w:sz w:val="22"/>
          <w:szCs w:val="22"/>
        </w:rPr>
      </w:pPr>
      <w:r w:rsidRPr="0064618D">
        <w:rPr>
          <w:rFonts w:cstheme="minorHAnsi"/>
          <w:sz w:val="22"/>
          <w:szCs w:val="22"/>
          <w:lang w:val="es-ES"/>
        </w:rPr>
        <w:t xml:space="preserve">Por otra parte, </w:t>
      </w:r>
      <w:r w:rsidRPr="0064618D">
        <w:rPr>
          <w:rFonts w:cstheme="minorHAnsi"/>
          <w:sz w:val="22"/>
          <w:szCs w:val="22"/>
        </w:rPr>
        <w:t xml:space="preserve">es importante considerar que una parte importante del suelo en el planeta no puede ser cultivado (Figura 2), siendo cada vez menor la superficie arable disponible, pues las ciudades que originalmente ocuparon los mejores suelos, al crecer se expandieron (y continúan expandiéndose) cubriendo así los mejores suelos con hormigón. Por ello, resulta complejo plantear que la población del mundo se sustente solo en base a productos vegetales, dado las limitaciones de suelo y la contaminación que estos sistemas de producción también generan. Recordemos que no existe ninguna actividad productiva que no genere algún grado de contaminación, por lo tanto el desafío es minimizar ese impacto.  Indudablemente la habilitación de nuevas tierras para pastoreo a través de la tala bosques no es una práctica recomendable en ninguna parte, en especial en el Amazonas, por el contrario técnicas como el </w:t>
      </w:r>
      <w:proofErr w:type="spellStart"/>
      <w:r w:rsidRPr="0064618D">
        <w:rPr>
          <w:rFonts w:cstheme="minorHAnsi"/>
          <w:sz w:val="22"/>
          <w:szCs w:val="22"/>
        </w:rPr>
        <w:t>silvopastoreo</w:t>
      </w:r>
      <w:proofErr w:type="spellEnd"/>
      <w:r w:rsidRPr="0064618D">
        <w:rPr>
          <w:rFonts w:cstheme="minorHAnsi"/>
          <w:sz w:val="22"/>
          <w:szCs w:val="22"/>
        </w:rPr>
        <w:t xml:space="preserve"> son una opción válida y que permiten sustentabilidad.</w:t>
      </w:r>
    </w:p>
    <w:p w14:paraId="2F2FE119" w14:textId="77777777" w:rsidR="00645549" w:rsidRPr="0064618D" w:rsidRDefault="00645549" w:rsidP="00645549">
      <w:pPr>
        <w:spacing w:line="276" w:lineRule="auto"/>
        <w:rPr>
          <w:rFonts w:cstheme="minorHAnsi"/>
          <w:sz w:val="22"/>
          <w:szCs w:val="22"/>
        </w:rPr>
      </w:pPr>
      <w:r w:rsidRPr="0064618D">
        <w:rPr>
          <w:rFonts w:cstheme="minorHAnsi"/>
          <w:noProof/>
          <w:sz w:val="22"/>
          <w:szCs w:val="22"/>
          <w:lang w:eastAsia="es-CL"/>
        </w:rPr>
        <w:lastRenderedPageBreak/>
        <w:drawing>
          <wp:inline distT="0" distB="0" distL="0" distR="0" wp14:anchorId="436BD7B4" wp14:editId="1B3EDAAD">
            <wp:extent cx="5409565" cy="2074334"/>
            <wp:effectExtent l="0" t="0" r="635" b="0"/>
            <wp:docPr id="32" name="Gráfico 32">
              <a:extLst xmlns:a="http://schemas.openxmlformats.org/drawingml/2006/main">
                <a:ext uri="{FF2B5EF4-FFF2-40B4-BE49-F238E27FC236}">
                  <a16:creationId xmlns:a16="http://schemas.microsoft.com/office/drawing/2014/main" id="{4B3C5647-664C-C04A-B165-C1F588E2B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DB4B48" w14:textId="77777777" w:rsidR="00645549" w:rsidRPr="0064618D" w:rsidRDefault="00645549" w:rsidP="00645549">
      <w:pPr>
        <w:spacing w:line="276" w:lineRule="auto"/>
        <w:rPr>
          <w:rFonts w:cstheme="minorHAnsi"/>
          <w:sz w:val="22"/>
          <w:szCs w:val="22"/>
        </w:rPr>
      </w:pPr>
      <w:r w:rsidRPr="0064618D">
        <w:rPr>
          <w:rFonts w:cstheme="minorHAnsi"/>
          <w:sz w:val="22"/>
          <w:szCs w:val="22"/>
        </w:rPr>
        <w:t xml:space="preserve">Figura 2.  Área terrestre mundial por categoría (Fuente: </w:t>
      </w:r>
      <w:r>
        <w:rPr>
          <w:rFonts w:cstheme="minorHAnsi"/>
          <w:sz w:val="22"/>
          <w:szCs w:val="22"/>
        </w:rPr>
        <w:t>elaborado</w:t>
      </w:r>
      <w:r w:rsidRPr="0064618D">
        <w:rPr>
          <w:rFonts w:cstheme="minorHAnsi"/>
          <w:sz w:val="22"/>
          <w:szCs w:val="22"/>
        </w:rPr>
        <w:t xml:space="preserve"> a partir de la literatura).</w:t>
      </w:r>
    </w:p>
    <w:p w14:paraId="29E3E2C6" w14:textId="77777777" w:rsidR="00645549" w:rsidRPr="0064618D" w:rsidRDefault="00645549" w:rsidP="00645549">
      <w:pPr>
        <w:spacing w:line="276" w:lineRule="auto"/>
        <w:rPr>
          <w:rFonts w:cstheme="minorHAnsi"/>
          <w:sz w:val="22"/>
          <w:szCs w:val="22"/>
        </w:rPr>
      </w:pPr>
    </w:p>
    <w:p w14:paraId="267F82B3" w14:textId="77777777" w:rsidR="00645549" w:rsidRPr="0064618D" w:rsidRDefault="00645549" w:rsidP="00645549">
      <w:pPr>
        <w:spacing w:line="276" w:lineRule="auto"/>
        <w:jc w:val="both"/>
        <w:rPr>
          <w:rFonts w:cstheme="minorHAnsi"/>
          <w:sz w:val="22"/>
          <w:szCs w:val="22"/>
        </w:rPr>
      </w:pPr>
      <w:r w:rsidRPr="0064618D">
        <w:rPr>
          <w:rFonts w:cstheme="minorHAnsi"/>
          <w:sz w:val="22"/>
          <w:szCs w:val="22"/>
        </w:rPr>
        <w:t>Sin duda los avances tecnológicos de los últimos 40 años en la ganadería bovina han permitido importantes mejoras con una mayor producción (+33%) pero con menos animales, lo que implica ocupar menos tierra y generar menor impacto ambiental (</w:t>
      </w:r>
      <w:proofErr w:type="spellStart"/>
      <w:r w:rsidRPr="0064618D">
        <w:rPr>
          <w:rFonts w:cstheme="minorHAnsi"/>
          <w:sz w:val="22"/>
          <w:szCs w:val="22"/>
        </w:rPr>
        <w:t>Capper</w:t>
      </w:r>
      <w:proofErr w:type="spellEnd"/>
      <w:r w:rsidRPr="0064618D">
        <w:rPr>
          <w:rFonts w:cstheme="minorHAnsi"/>
          <w:sz w:val="22"/>
          <w:szCs w:val="22"/>
        </w:rPr>
        <w:t xml:space="preserve"> et al., 2009; </w:t>
      </w:r>
      <w:proofErr w:type="spellStart"/>
      <w:r w:rsidRPr="0064618D">
        <w:rPr>
          <w:rFonts w:cstheme="minorHAnsi"/>
          <w:sz w:val="22"/>
          <w:szCs w:val="22"/>
        </w:rPr>
        <w:t>Capper</w:t>
      </w:r>
      <w:proofErr w:type="spellEnd"/>
      <w:r w:rsidRPr="0064618D">
        <w:rPr>
          <w:rFonts w:cstheme="minorHAnsi"/>
          <w:sz w:val="22"/>
          <w:szCs w:val="22"/>
        </w:rPr>
        <w:t>, 2011). En efecto, la mejora en la eficiencia y en el bienestar de los animales significa un 16% menos de huella de carbono y menos recursos naturales utilizados por cada kilogramo de carne producida (Figura 3).</w:t>
      </w:r>
    </w:p>
    <w:p w14:paraId="04C5CC6C" w14:textId="77777777" w:rsidR="00645549" w:rsidRPr="0064618D" w:rsidRDefault="00645549" w:rsidP="00645549">
      <w:pPr>
        <w:spacing w:line="276" w:lineRule="auto"/>
        <w:jc w:val="both"/>
        <w:rPr>
          <w:rFonts w:cstheme="minorHAnsi"/>
        </w:rPr>
      </w:pPr>
    </w:p>
    <w:p w14:paraId="333FF1F9" w14:textId="77777777" w:rsidR="00645549" w:rsidRPr="0064618D" w:rsidRDefault="00645549" w:rsidP="00645549">
      <w:pPr>
        <w:spacing w:line="276" w:lineRule="auto"/>
        <w:jc w:val="center"/>
        <w:rPr>
          <w:rFonts w:cstheme="minorHAnsi"/>
        </w:rPr>
      </w:pPr>
      <w:r w:rsidRPr="0064618D">
        <w:rPr>
          <w:rFonts w:cstheme="minorHAnsi"/>
          <w:noProof/>
          <w:lang w:eastAsia="es-CL"/>
        </w:rPr>
        <w:drawing>
          <wp:inline distT="0" distB="0" distL="0" distR="0" wp14:anchorId="5557E0DC" wp14:editId="275A32BD">
            <wp:extent cx="3724306" cy="1617133"/>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7126" cy="1627042"/>
                    </a:xfrm>
                    <a:prstGeom prst="rect">
                      <a:avLst/>
                    </a:prstGeom>
                  </pic:spPr>
                </pic:pic>
              </a:graphicData>
            </a:graphic>
          </wp:inline>
        </w:drawing>
      </w:r>
    </w:p>
    <w:p w14:paraId="3732B3C6" w14:textId="77777777" w:rsidR="00645549" w:rsidRPr="0064618D" w:rsidRDefault="00645549" w:rsidP="00645549">
      <w:pPr>
        <w:spacing w:line="276" w:lineRule="auto"/>
        <w:rPr>
          <w:rFonts w:cstheme="minorHAnsi"/>
          <w:sz w:val="22"/>
          <w:szCs w:val="22"/>
        </w:rPr>
      </w:pPr>
      <w:r w:rsidRPr="0064618D">
        <w:rPr>
          <w:rFonts w:cstheme="minorHAnsi"/>
          <w:sz w:val="22"/>
          <w:szCs w:val="22"/>
        </w:rPr>
        <w:t xml:space="preserve">Figura 3. Impacto de las tecnologías de producción de carne en el ambiente (Adaptado de: </w:t>
      </w:r>
      <w:proofErr w:type="spellStart"/>
      <w:r w:rsidRPr="0064618D">
        <w:rPr>
          <w:rFonts w:cstheme="minorHAnsi"/>
          <w:sz w:val="22"/>
          <w:szCs w:val="22"/>
        </w:rPr>
        <w:t>Beef</w:t>
      </w:r>
      <w:proofErr w:type="spellEnd"/>
      <w:r w:rsidRPr="0064618D">
        <w:rPr>
          <w:rFonts w:cstheme="minorHAnsi"/>
          <w:sz w:val="22"/>
          <w:szCs w:val="22"/>
        </w:rPr>
        <w:t xml:space="preserve">. </w:t>
      </w:r>
      <w:proofErr w:type="spellStart"/>
      <w:r w:rsidRPr="0064618D">
        <w:rPr>
          <w:rFonts w:cstheme="minorHAnsi"/>
          <w:sz w:val="22"/>
          <w:szCs w:val="22"/>
        </w:rPr>
        <w:t>It´s</w:t>
      </w:r>
      <w:proofErr w:type="spellEnd"/>
      <w:r w:rsidRPr="0064618D">
        <w:rPr>
          <w:rFonts w:cstheme="minorHAnsi"/>
          <w:sz w:val="22"/>
          <w:szCs w:val="22"/>
        </w:rPr>
        <w:t xml:space="preserve"> </w:t>
      </w:r>
      <w:proofErr w:type="spellStart"/>
      <w:r w:rsidRPr="0064618D">
        <w:rPr>
          <w:rFonts w:cstheme="minorHAnsi"/>
          <w:sz w:val="22"/>
          <w:szCs w:val="22"/>
        </w:rPr>
        <w:t>what´s</w:t>
      </w:r>
      <w:proofErr w:type="spellEnd"/>
      <w:r w:rsidRPr="0064618D">
        <w:rPr>
          <w:rFonts w:cstheme="minorHAnsi"/>
          <w:sz w:val="22"/>
          <w:szCs w:val="22"/>
        </w:rPr>
        <w:t xml:space="preserve"> </w:t>
      </w:r>
      <w:proofErr w:type="spellStart"/>
      <w:r w:rsidRPr="0064618D">
        <w:rPr>
          <w:rFonts w:cstheme="minorHAnsi"/>
          <w:sz w:val="22"/>
          <w:szCs w:val="22"/>
        </w:rPr>
        <w:t>for</w:t>
      </w:r>
      <w:proofErr w:type="spellEnd"/>
      <w:r w:rsidRPr="0064618D">
        <w:rPr>
          <w:rFonts w:cstheme="minorHAnsi"/>
          <w:sz w:val="22"/>
          <w:szCs w:val="22"/>
        </w:rPr>
        <w:t xml:space="preserve"> </w:t>
      </w:r>
      <w:proofErr w:type="spellStart"/>
      <w:r w:rsidRPr="0064618D">
        <w:rPr>
          <w:rFonts w:cstheme="minorHAnsi"/>
          <w:sz w:val="22"/>
          <w:szCs w:val="22"/>
        </w:rPr>
        <w:t>dinner</w:t>
      </w:r>
      <w:proofErr w:type="spellEnd"/>
      <w:r w:rsidRPr="0064618D">
        <w:rPr>
          <w:rFonts w:cstheme="minorHAnsi"/>
          <w:sz w:val="22"/>
          <w:szCs w:val="22"/>
        </w:rPr>
        <w:t>).</w:t>
      </w:r>
    </w:p>
    <w:p w14:paraId="2F27965C" w14:textId="77777777" w:rsidR="00645549" w:rsidRPr="0064618D" w:rsidRDefault="00645549" w:rsidP="00645549">
      <w:pPr>
        <w:rPr>
          <w:rFonts w:cstheme="minorHAnsi"/>
          <w:b/>
          <w:bCs/>
          <w:sz w:val="22"/>
          <w:szCs w:val="22"/>
          <w:lang w:val="es-ES"/>
        </w:rPr>
      </w:pPr>
    </w:p>
    <w:p w14:paraId="1CC022B0" w14:textId="77777777" w:rsidR="00645549" w:rsidRPr="0064618D" w:rsidRDefault="00645549" w:rsidP="00645549">
      <w:pPr>
        <w:jc w:val="both"/>
        <w:rPr>
          <w:rFonts w:cstheme="minorHAnsi"/>
          <w:sz w:val="22"/>
          <w:szCs w:val="22"/>
          <w:lang w:val="es-ES"/>
        </w:rPr>
      </w:pPr>
      <w:r w:rsidRPr="0064618D">
        <w:rPr>
          <w:rFonts w:cstheme="minorHAnsi"/>
          <w:sz w:val="22"/>
          <w:szCs w:val="22"/>
          <w:lang w:val="es-ES"/>
        </w:rPr>
        <w:t xml:space="preserve">No se debe olvidar que la carne de vacuno contribuye sustancialmente a la seguridad alimentaria, proporcionando proteínas, energía, pero también micronutrientes esenciales para las poblaciones humanas. Esta contribución es de particular importancia en áreas marginales, donde las condiciones agroecológicas y las débiles infraestructuras no ofrecen muchas alternativas </w:t>
      </w:r>
      <w:proofErr w:type="spellStart"/>
      <w:r w:rsidRPr="0064618D">
        <w:rPr>
          <w:rFonts w:cstheme="minorHAnsi"/>
          <w:sz w:val="22"/>
          <w:szCs w:val="22"/>
          <w:lang w:val="es-ES"/>
        </w:rPr>
        <w:t>Gerber</w:t>
      </w:r>
      <w:proofErr w:type="spellEnd"/>
      <w:r w:rsidRPr="0064618D">
        <w:rPr>
          <w:rFonts w:cstheme="minorHAnsi"/>
          <w:sz w:val="22"/>
          <w:szCs w:val="22"/>
          <w:lang w:val="es-ES"/>
        </w:rPr>
        <w:t xml:space="preserve"> et al., 2015).</w:t>
      </w:r>
    </w:p>
    <w:p w14:paraId="11FF768F" w14:textId="77777777" w:rsidR="00645549" w:rsidRPr="0064618D" w:rsidRDefault="00645549" w:rsidP="00645549">
      <w:pPr>
        <w:jc w:val="both"/>
        <w:rPr>
          <w:rFonts w:cstheme="minorHAnsi"/>
          <w:lang w:val="es-ES"/>
        </w:rPr>
      </w:pPr>
    </w:p>
    <w:p w14:paraId="1073FD68" w14:textId="77777777" w:rsidR="00645549" w:rsidRPr="0064618D" w:rsidRDefault="00645549" w:rsidP="00645549">
      <w:pPr>
        <w:rPr>
          <w:rFonts w:cstheme="minorHAnsi"/>
          <w:sz w:val="20"/>
          <w:szCs w:val="20"/>
          <w:u w:val="single"/>
          <w:lang w:val="es-ES"/>
        </w:rPr>
      </w:pPr>
      <w:r w:rsidRPr="0064618D">
        <w:rPr>
          <w:rFonts w:cstheme="minorHAnsi"/>
          <w:sz w:val="20"/>
          <w:szCs w:val="20"/>
          <w:u w:val="single"/>
          <w:lang w:val="es-ES"/>
        </w:rPr>
        <w:t>Literatura</w:t>
      </w:r>
    </w:p>
    <w:p w14:paraId="4CCD2DC3" w14:textId="77777777" w:rsidR="00645549" w:rsidRPr="0064618D" w:rsidRDefault="00645549" w:rsidP="00645549">
      <w:pPr>
        <w:snapToGrid w:val="0"/>
        <w:spacing w:after="60"/>
        <w:rPr>
          <w:rFonts w:cstheme="minorHAnsi"/>
          <w:sz w:val="16"/>
          <w:szCs w:val="16"/>
          <w:lang w:val="en-US"/>
        </w:rPr>
      </w:pPr>
      <w:proofErr w:type="spellStart"/>
      <w:r w:rsidRPr="0064618D">
        <w:rPr>
          <w:rFonts w:cstheme="minorHAnsi"/>
          <w:sz w:val="16"/>
          <w:szCs w:val="16"/>
          <w:lang w:val="es-ES"/>
        </w:rPr>
        <w:t>Capper</w:t>
      </w:r>
      <w:proofErr w:type="spellEnd"/>
      <w:r w:rsidRPr="0064618D">
        <w:rPr>
          <w:rFonts w:cstheme="minorHAnsi"/>
          <w:sz w:val="16"/>
          <w:szCs w:val="16"/>
          <w:lang w:val="es-ES"/>
        </w:rPr>
        <w:t xml:space="preserve"> JL, RA </w:t>
      </w:r>
      <w:proofErr w:type="spellStart"/>
      <w:r w:rsidRPr="0064618D">
        <w:rPr>
          <w:rFonts w:cstheme="minorHAnsi"/>
          <w:sz w:val="16"/>
          <w:szCs w:val="16"/>
          <w:lang w:val="es-ES"/>
        </w:rPr>
        <w:t>Cady</w:t>
      </w:r>
      <w:proofErr w:type="spellEnd"/>
      <w:r w:rsidRPr="0064618D">
        <w:rPr>
          <w:rFonts w:cstheme="minorHAnsi"/>
          <w:sz w:val="16"/>
          <w:szCs w:val="16"/>
          <w:lang w:val="es-ES"/>
        </w:rPr>
        <w:t xml:space="preserve">, DE </w:t>
      </w:r>
      <w:proofErr w:type="spellStart"/>
      <w:r w:rsidRPr="0064618D">
        <w:rPr>
          <w:rFonts w:cstheme="minorHAnsi"/>
          <w:sz w:val="16"/>
          <w:szCs w:val="16"/>
          <w:lang w:val="es-ES"/>
        </w:rPr>
        <w:t>Bauman</w:t>
      </w:r>
      <w:proofErr w:type="spellEnd"/>
      <w:r w:rsidRPr="0064618D">
        <w:rPr>
          <w:rFonts w:cstheme="minorHAnsi"/>
          <w:sz w:val="16"/>
          <w:szCs w:val="16"/>
          <w:lang w:val="es-ES"/>
        </w:rPr>
        <w:t xml:space="preserve">. </w:t>
      </w:r>
      <w:r w:rsidRPr="0064618D">
        <w:rPr>
          <w:rFonts w:cstheme="minorHAnsi"/>
          <w:sz w:val="16"/>
          <w:szCs w:val="16"/>
          <w:lang w:val="en-US"/>
        </w:rPr>
        <w:t>2009. The environmental impact of dairy production:1944 compared with 2007. J. Anim. Sci. 2009. 87:2160–2167. doi:10.2527/jas.2009-1781.</w:t>
      </w:r>
    </w:p>
    <w:p w14:paraId="76616768" w14:textId="77777777" w:rsidR="00645549" w:rsidRPr="0064618D" w:rsidRDefault="00645549" w:rsidP="00645549">
      <w:pPr>
        <w:snapToGrid w:val="0"/>
        <w:spacing w:after="60"/>
        <w:rPr>
          <w:rFonts w:cstheme="minorHAnsi"/>
          <w:sz w:val="16"/>
          <w:szCs w:val="16"/>
          <w:lang w:val="en-US"/>
        </w:rPr>
      </w:pPr>
      <w:r w:rsidRPr="0064618D">
        <w:rPr>
          <w:rFonts w:cstheme="minorHAnsi"/>
          <w:sz w:val="16"/>
          <w:szCs w:val="16"/>
          <w:lang w:val="en-US"/>
        </w:rPr>
        <w:t>Capper JL. 2011. The environmental impact of dairy production:1944 compared with 2007. J. Anim. Sci. 2009. 89:4249–4261. doi:10.2527/jas.2010-3784.</w:t>
      </w:r>
    </w:p>
    <w:p w14:paraId="11C8EB42" w14:textId="77777777" w:rsidR="00645549" w:rsidRPr="0064618D" w:rsidRDefault="00645549" w:rsidP="00645549">
      <w:pPr>
        <w:snapToGrid w:val="0"/>
        <w:spacing w:after="60"/>
        <w:rPr>
          <w:rFonts w:cstheme="minorHAnsi"/>
          <w:sz w:val="16"/>
          <w:szCs w:val="16"/>
          <w:lang w:val="en-US"/>
        </w:rPr>
      </w:pPr>
      <w:r w:rsidRPr="0064618D">
        <w:rPr>
          <w:rFonts w:cstheme="minorHAnsi"/>
          <w:sz w:val="16"/>
          <w:szCs w:val="16"/>
          <w:lang w:val="en-US"/>
        </w:rPr>
        <w:t xml:space="preserve">Gerber, P. J., </w:t>
      </w:r>
      <w:proofErr w:type="spellStart"/>
      <w:r w:rsidRPr="0064618D">
        <w:rPr>
          <w:rFonts w:cstheme="minorHAnsi"/>
          <w:sz w:val="16"/>
          <w:szCs w:val="16"/>
          <w:lang w:val="en-US"/>
        </w:rPr>
        <w:t>Mottet</w:t>
      </w:r>
      <w:proofErr w:type="spellEnd"/>
      <w:r w:rsidRPr="0064618D">
        <w:rPr>
          <w:rFonts w:cstheme="minorHAnsi"/>
          <w:sz w:val="16"/>
          <w:szCs w:val="16"/>
          <w:lang w:val="en-US"/>
        </w:rPr>
        <w:t xml:space="preserve">, A., </w:t>
      </w:r>
      <w:proofErr w:type="spellStart"/>
      <w:r w:rsidRPr="0064618D">
        <w:rPr>
          <w:rFonts w:cstheme="minorHAnsi"/>
          <w:sz w:val="16"/>
          <w:szCs w:val="16"/>
          <w:lang w:val="en-US"/>
        </w:rPr>
        <w:t>Opio</w:t>
      </w:r>
      <w:proofErr w:type="spellEnd"/>
      <w:r w:rsidRPr="0064618D">
        <w:rPr>
          <w:rFonts w:cstheme="minorHAnsi"/>
          <w:sz w:val="16"/>
          <w:szCs w:val="16"/>
          <w:lang w:val="en-US"/>
        </w:rPr>
        <w:t xml:space="preserve">, C. I., </w:t>
      </w:r>
      <w:proofErr w:type="spellStart"/>
      <w:r w:rsidRPr="0064618D">
        <w:rPr>
          <w:rFonts w:cstheme="minorHAnsi"/>
          <w:sz w:val="16"/>
          <w:szCs w:val="16"/>
          <w:lang w:val="en-US"/>
        </w:rPr>
        <w:t>Falcucci</w:t>
      </w:r>
      <w:proofErr w:type="spellEnd"/>
      <w:r w:rsidRPr="0064618D">
        <w:rPr>
          <w:rFonts w:cstheme="minorHAnsi"/>
          <w:sz w:val="16"/>
          <w:szCs w:val="16"/>
          <w:lang w:val="en-US"/>
        </w:rPr>
        <w:t xml:space="preserve">, A., &amp; </w:t>
      </w:r>
      <w:proofErr w:type="spellStart"/>
      <w:r w:rsidRPr="0064618D">
        <w:rPr>
          <w:rFonts w:cstheme="minorHAnsi"/>
          <w:sz w:val="16"/>
          <w:szCs w:val="16"/>
          <w:lang w:val="en-US"/>
        </w:rPr>
        <w:t>Teillard</w:t>
      </w:r>
      <w:proofErr w:type="spellEnd"/>
      <w:r w:rsidRPr="0064618D">
        <w:rPr>
          <w:rFonts w:cstheme="minorHAnsi"/>
          <w:sz w:val="16"/>
          <w:szCs w:val="16"/>
          <w:lang w:val="en-US"/>
        </w:rPr>
        <w:t xml:space="preserve">, F. (2015). Environmental impacts of beef production: Review of challenges and perspectives for durability. Meat Science, 109, 2–12. </w:t>
      </w:r>
      <w:proofErr w:type="gramStart"/>
      <w:r w:rsidRPr="0064618D">
        <w:rPr>
          <w:rFonts w:cstheme="minorHAnsi"/>
          <w:sz w:val="16"/>
          <w:szCs w:val="16"/>
          <w:lang w:val="en-US"/>
        </w:rPr>
        <w:t>doi:10.1016/j.meatsci</w:t>
      </w:r>
      <w:proofErr w:type="gramEnd"/>
      <w:r w:rsidRPr="0064618D">
        <w:rPr>
          <w:rFonts w:cstheme="minorHAnsi"/>
          <w:sz w:val="16"/>
          <w:szCs w:val="16"/>
          <w:lang w:val="en-US"/>
        </w:rPr>
        <w:t>.2015.05.013</w:t>
      </w:r>
    </w:p>
    <w:p w14:paraId="0684AF8E" w14:textId="63F5FACC" w:rsidR="00F50D0C" w:rsidRDefault="00645549" w:rsidP="00645549">
      <w:proofErr w:type="spellStart"/>
      <w:r w:rsidRPr="0064618D">
        <w:rPr>
          <w:rFonts w:cstheme="minorHAnsi"/>
          <w:sz w:val="16"/>
          <w:szCs w:val="16"/>
          <w:lang w:val="en-US"/>
        </w:rPr>
        <w:t>Mottet</w:t>
      </w:r>
      <w:proofErr w:type="spellEnd"/>
      <w:r w:rsidRPr="0064618D">
        <w:rPr>
          <w:rFonts w:cstheme="minorHAnsi"/>
          <w:sz w:val="16"/>
          <w:szCs w:val="16"/>
          <w:lang w:val="en-US"/>
        </w:rPr>
        <w:t xml:space="preserve"> A, C de </w:t>
      </w:r>
      <w:proofErr w:type="spellStart"/>
      <w:r w:rsidRPr="0064618D">
        <w:rPr>
          <w:rFonts w:cstheme="minorHAnsi"/>
          <w:sz w:val="16"/>
          <w:szCs w:val="16"/>
          <w:lang w:val="en-US"/>
        </w:rPr>
        <w:t>Haanb</w:t>
      </w:r>
      <w:proofErr w:type="spellEnd"/>
      <w:r w:rsidRPr="0064618D">
        <w:rPr>
          <w:rFonts w:cstheme="minorHAnsi"/>
          <w:sz w:val="16"/>
          <w:szCs w:val="16"/>
          <w:lang w:val="en-US"/>
        </w:rPr>
        <w:t xml:space="preserve">, A </w:t>
      </w:r>
      <w:proofErr w:type="spellStart"/>
      <w:r w:rsidRPr="0064618D">
        <w:rPr>
          <w:rFonts w:cstheme="minorHAnsi"/>
          <w:sz w:val="16"/>
          <w:szCs w:val="16"/>
          <w:lang w:val="en-US"/>
        </w:rPr>
        <w:t>Falcucci</w:t>
      </w:r>
      <w:proofErr w:type="spellEnd"/>
      <w:r w:rsidRPr="0064618D">
        <w:rPr>
          <w:rFonts w:cstheme="minorHAnsi"/>
          <w:sz w:val="16"/>
          <w:szCs w:val="16"/>
          <w:lang w:val="en-US"/>
        </w:rPr>
        <w:t xml:space="preserve">, G </w:t>
      </w:r>
      <w:proofErr w:type="spellStart"/>
      <w:r w:rsidRPr="0064618D">
        <w:rPr>
          <w:rFonts w:cstheme="minorHAnsi"/>
          <w:sz w:val="16"/>
          <w:szCs w:val="16"/>
          <w:lang w:val="en-US"/>
        </w:rPr>
        <w:t>Tempio</w:t>
      </w:r>
      <w:proofErr w:type="spellEnd"/>
      <w:r w:rsidRPr="0064618D">
        <w:rPr>
          <w:rFonts w:cstheme="minorHAnsi"/>
          <w:sz w:val="16"/>
          <w:szCs w:val="16"/>
          <w:lang w:val="en-US"/>
        </w:rPr>
        <w:t xml:space="preserve">, C </w:t>
      </w:r>
      <w:proofErr w:type="spellStart"/>
      <w:r w:rsidRPr="0064618D">
        <w:rPr>
          <w:rFonts w:cstheme="minorHAnsi"/>
          <w:sz w:val="16"/>
          <w:szCs w:val="16"/>
          <w:lang w:val="en-US"/>
        </w:rPr>
        <w:t>Opio</w:t>
      </w:r>
      <w:proofErr w:type="spellEnd"/>
      <w:r w:rsidRPr="0064618D">
        <w:rPr>
          <w:rFonts w:cstheme="minorHAnsi"/>
          <w:sz w:val="16"/>
          <w:szCs w:val="16"/>
          <w:lang w:val="en-US"/>
        </w:rPr>
        <w:t>, P Gerber. 2017.  Livestock: On our plates or eating at our table? A new analysis of the feed/food debate. Global Food Security 14 (2017) 1–8.</w:t>
      </w:r>
      <w:r w:rsidRPr="0064618D">
        <w:rPr>
          <w:rFonts w:cstheme="minorHAnsi"/>
          <w:sz w:val="22"/>
          <w:szCs w:val="22"/>
          <w:lang w:val="en-US"/>
        </w:rPr>
        <w:t xml:space="preserve"> </w:t>
      </w:r>
      <w:hyperlink r:id="rId10" w:history="1">
        <w:r w:rsidRPr="0064618D">
          <w:rPr>
            <w:rStyle w:val="Hipervnculo"/>
            <w:rFonts w:cstheme="minorHAnsi"/>
            <w:sz w:val="16"/>
            <w:szCs w:val="16"/>
            <w:lang w:val="es-ES"/>
          </w:rPr>
          <w:t>http://dx.doi.org/10.1016/j.gfs.2017.01.001</w:t>
        </w:r>
      </w:hyperlink>
      <w:bookmarkEnd w:id="0"/>
      <w:bookmarkEnd w:id="1"/>
    </w:p>
    <w:sectPr w:rsidR="00F50D0C" w:rsidSect="004238A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A44B" w14:textId="77777777" w:rsidR="00433743" w:rsidRDefault="00433743" w:rsidP="003B30CB">
      <w:r>
        <w:separator/>
      </w:r>
    </w:p>
  </w:endnote>
  <w:endnote w:type="continuationSeparator" w:id="0">
    <w:p w14:paraId="3B3CE99D" w14:textId="77777777" w:rsidR="00433743" w:rsidRDefault="00433743" w:rsidP="003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23BB" w14:textId="77777777" w:rsidR="00433743" w:rsidRDefault="00433743" w:rsidP="003B30CB">
      <w:r>
        <w:separator/>
      </w:r>
    </w:p>
  </w:footnote>
  <w:footnote w:type="continuationSeparator" w:id="0">
    <w:p w14:paraId="7B62A16B" w14:textId="77777777" w:rsidR="00433743" w:rsidRDefault="00433743" w:rsidP="003B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157" w14:textId="1049535A" w:rsidR="003B30CB" w:rsidRDefault="003B30CB" w:rsidP="003B30CB">
    <w:pPr>
      <w:pStyle w:val="Encabezado"/>
      <w:jc w:val="right"/>
    </w:pPr>
    <w:r>
      <w:rPr>
        <w:noProof/>
      </w:rPr>
      <w:drawing>
        <wp:inline distT="0" distB="0" distL="0" distR="0" wp14:anchorId="680F4D0E" wp14:editId="6EB9DCB5">
          <wp:extent cx="1726058" cy="35384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11020" cy="37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B3B"/>
    <w:multiLevelType w:val="hybridMultilevel"/>
    <w:tmpl w:val="84A42D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5E93ABB"/>
    <w:multiLevelType w:val="hybridMultilevel"/>
    <w:tmpl w:val="5D5E513C"/>
    <w:lvl w:ilvl="0" w:tplc="931E850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CB"/>
    <w:rsid w:val="00264721"/>
    <w:rsid w:val="003B30CB"/>
    <w:rsid w:val="00407E86"/>
    <w:rsid w:val="00433743"/>
    <w:rsid w:val="00645549"/>
    <w:rsid w:val="007969DF"/>
    <w:rsid w:val="008C4A48"/>
    <w:rsid w:val="00DB223B"/>
    <w:rsid w:val="00F50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4DBFB11"/>
  <w15:chartTrackingRefBased/>
  <w15:docId w15:val="{3FCE40E4-EFB4-C54E-BCFB-9A131C69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30CB"/>
    <w:pPr>
      <w:ind w:left="720"/>
      <w:contextualSpacing/>
    </w:pPr>
  </w:style>
  <w:style w:type="character" w:styleId="Hipervnculo">
    <w:name w:val="Hyperlink"/>
    <w:basedOn w:val="Fuentedeprrafopredeter"/>
    <w:uiPriority w:val="99"/>
    <w:unhideWhenUsed/>
    <w:rsid w:val="003B30CB"/>
    <w:rPr>
      <w:color w:val="0563C1" w:themeColor="hyperlink"/>
      <w:u w:val="single"/>
    </w:rPr>
  </w:style>
  <w:style w:type="paragraph" w:styleId="Encabezado">
    <w:name w:val="header"/>
    <w:basedOn w:val="Normal"/>
    <w:link w:val="EncabezadoCar"/>
    <w:uiPriority w:val="99"/>
    <w:unhideWhenUsed/>
    <w:rsid w:val="003B30CB"/>
    <w:pPr>
      <w:tabs>
        <w:tab w:val="center" w:pos="4252"/>
        <w:tab w:val="right" w:pos="8504"/>
      </w:tabs>
    </w:pPr>
  </w:style>
  <w:style w:type="character" w:customStyle="1" w:styleId="EncabezadoCar">
    <w:name w:val="Encabezado Car"/>
    <w:basedOn w:val="Fuentedeprrafopredeter"/>
    <w:link w:val="Encabezado"/>
    <w:uiPriority w:val="99"/>
    <w:rsid w:val="003B30CB"/>
  </w:style>
  <w:style w:type="paragraph" w:styleId="Piedepgina">
    <w:name w:val="footer"/>
    <w:basedOn w:val="Normal"/>
    <w:link w:val="PiedepginaCar"/>
    <w:uiPriority w:val="99"/>
    <w:unhideWhenUsed/>
    <w:rsid w:val="003B30CB"/>
    <w:pPr>
      <w:tabs>
        <w:tab w:val="center" w:pos="4252"/>
        <w:tab w:val="right" w:pos="8504"/>
      </w:tabs>
    </w:pPr>
  </w:style>
  <w:style w:type="character" w:customStyle="1" w:styleId="PiedepginaCar">
    <w:name w:val="Pie de página Car"/>
    <w:basedOn w:val="Fuentedeprrafopredeter"/>
    <w:link w:val="Piedepgina"/>
    <w:uiPriority w:val="99"/>
    <w:rsid w:val="003B30CB"/>
  </w:style>
  <w:style w:type="paragraph" w:styleId="Textonotapie">
    <w:name w:val="footnote text"/>
    <w:basedOn w:val="Normal"/>
    <w:link w:val="TextonotapieCar"/>
    <w:uiPriority w:val="99"/>
    <w:semiHidden/>
    <w:unhideWhenUsed/>
    <w:rsid w:val="007969DF"/>
    <w:rPr>
      <w:sz w:val="20"/>
      <w:szCs w:val="20"/>
    </w:rPr>
  </w:style>
  <w:style w:type="character" w:customStyle="1" w:styleId="TextonotapieCar">
    <w:name w:val="Texto nota pie Car"/>
    <w:basedOn w:val="Fuentedeprrafopredeter"/>
    <w:link w:val="Textonotapie"/>
    <w:uiPriority w:val="99"/>
    <w:semiHidden/>
    <w:rsid w:val="007969DF"/>
    <w:rPr>
      <w:sz w:val="20"/>
      <w:szCs w:val="20"/>
    </w:rPr>
  </w:style>
  <w:style w:type="character" w:styleId="Refdenotaalpie">
    <w:name w:val="footnote reference"/>
    <w:basedOn w:val="Fuentedeprrafopredeter"/>
    <w:uiPriority w:val="99"/>
    <w:semiHidden/>
    <w:unhideWhenUsed/>
    <w:rsid w:val="00796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16/j.gfs.2017.01.001"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rodrigoarias\Desktop\para%20la%20web%20sochip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RodrigoArias\Desktop\Becas%20Doctorado%202019\Omeg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659-E54B-B317-37D00A99681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659-E54B-B317-37D00A99681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659-E54B-B317-37D00A996812}"/>
              </c:ext>
            </c:extLst>
          </c:dPt>
          <c:dPt>
            <c:idx val="3"/>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659-E54B-B317-37D00A99681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659-E54B-B317-37D00A996812}"/>
              </c:ext>
            </c:extLst>
          </c:dPt>
          <c:dPt>
            <c:idx val="5"/>
            <c:bubble3D val="0"/>
            <c:spPr>
              <a:solidFill>
                <a:schemeClr val="accent6">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659-E54B-B317-37D00A996812}"/>
              </c:ext>
            </c:extLst>
          </c:dPt>
          <c:dPt>
            <c:idx val="6"/>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659-E54B-B317-37D00A99681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659-E54B-B317-37D00A996812}"/>
              </c:ext>
            </c:extLst>
          </c:dPt>
          <c:dLbls>
            <c:dLbl>
              <c:idx val="0"/>
              <c:layout>
                <c:manualLayout>
                  <c:x val="9.1188906165193401E-3"/>
                  <c:y val="-0.234399881644236"/>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1"/>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15:layout>
                    <c:manualLayout>
                      <c:w val="0.22970262194941352"/>
                      <c:h val="0.19359310467034088"/>
                    </c:manualLayout>
                  </c15:layout>
                </c:ext>
                <c:ext xmlns:c16="http://schemas.microsoft.com/office/drawing/2014/chart" uri="{C3380CC4-5D6E-409C-BE32-E72D297353CC}">
                  <c16:uniqueId val="{00000001-E659-E54B-B317-37D00A996812}"/>
                </c:ext>
              </c:extLst>
            </c:dLbl>
            <c:dLbl>
              <c:idx val="1"/>
              <c:layout>
                <c:manualLayout>
                  <c:x val="0.10288447644033097"/>
                  <c:y val="-0.17798297068030952"/>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2"/>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15:layout>
                    <c:manualLayout>
                      <c:w val="0.23010363759243416"/>
                      <c:h val="0.21615695326024234"/>
                    </c:manualLayout>
                  </c15:layout>
                </c:ext>
                <c:ext xmlns:c16="http://schemas.microsoft.com/office/drawing/2014/chart" uri="{C3380CC4-5D6E-409C-BE32-E72D297353CC}">
                  <c16:uniqueId val="{00000003-E659-E54B-B317-37D00A996812}"/>
                </c:ext>
              </c:extLst>
            </c:dLbl>
            <c:dLbl>
              <c:idx val="2"/>
              <c:layout>
                <c:manualLayout>
                  <c:x val="7.6614796269824342E-2"/>
                  <c:y val="4.4406798909751487E-2"/>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3"/>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59-E54B-B317-37D00A996812}"/>
                </c:ext>
              </c:extLst>
            </c:dLbl>
            <c:dLbl>
              <c:idx val="3"/>
              <c:layout>
                <c:manualLayout>
                  <c:x val="-7.3269677799803604E-2"/>
                  <c:y val="2.8521729254996971E-2"/>
                </c:manualLayout>
              </c:layout>
              <c:spPr>
                <a:noFill/>
                <a:ln>
                  <a:noFill/>
                </a:ln>
                <a:effectLst/>
              </c:spPr>
              <c:txPr>
                <a:bodyPr rot="0" spcFirstLastPara="1" vertOverflow="ellipsis" vert="horz" wrap="square" anchor="ctr" anchorCtr="1"/>
                <a:lstStyle/>
                <a:p>
                  <a:pPr>
                    <a:defRPr sz="1050" b="1" i="0" u="none" strike="noStrike" kern="1200" spc="0" baseline="0">
                      <a:solidFill>
                        <a:srgbClr val="0070C0"/>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15:layout>
                    <c:manualLayout>
                      <c:w val="0.30219442228698346"/>
                      <c:h val="9.5448213204118712E-2"/>
                    </c:manualLayout>
                  </c15:layout>
                </c:ext>
                <c:ext xmlns:c16="http://schemas.microsoft.com/office/drawing/2014/chart" uri="{C3380CC4-5D6E-409C-BE32-E72D297353CC}">
                  <c16:uniqueId val="{00000007-E659-E54B-B317-37D00A996812}"/>
                </c:ext>
              </c:extLst>
            </c:dLbl>
            <c:dLbl>
              <c:idx val="4"/>
              <c:layout>
                <c:manualLayout>
                  <c:x val="-7.5660226523841009E-2"/>
                  <c:y val="-6.9722895215021197E-3"/>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5"/>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59-E54B-B317-37D00A996812}"/>
                </c:ext>
              </c:extLst>
            </c:dLbl>
            <c:dLbl>
              <c:idx val="5"/>
              <c:layout>
                <c:manualLayout>
                  <c:x val="8.7752320829505136E-8"/>
                  <c:y val="-4.5521085705633041E-2"/>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6">
                          <a:lumMod val="50000"/>
                        </a:schemeClr>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15:layout>
                    <c:manualLayout>
                      <c:w val="0.25307032207734309"/>
                      <c:h val="0.13769230769230767"/>
                    </c:manualLayout>
                  </c15:layout>
                </c:ext>
                <c:ext xmlns:c16="http://schemas.microsoft.com/office/drawing/2014/chart" uri="{C3380CC4-5D6E-409C-BE32-E72D297353CC}">
                  <c16:uniqueId val="{0000000B-E659-E54B-B317-37D00A996812}"/>
                </c:ext>
              </c:extLst>
            </c:dLbl>
            <c:dLbl>
              <c:idx val="6"/>
              <c:layout>
                <c:manualLayout>
                  <c:x val="8.7821224569013309E-3"/>
                  <c:y val="-9.0832050188244098E-2"/>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1">
                          <a:lumMod val="60000"/>
                        </a:schemeClr>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59-E54B-B317-37D00A996812}"/>
                </c:ext>
              </c:extLst>
            </c:dLbl>
            <c:dLbl>
              <c:idx val="7"/>
              <c:layout>
                <c:manualLayout>
                  <c:x val="-6.2504583885949427E-2"/>
                  <c:y val="-0.12514629326343757"/>
                </c:manualLayout>
              </c:layout>
              <c:spPr>
                <a:noFill/>
                <a:ln>
                  <a:noFill/>
                </a:ln>
                <a:effectLst/>
              </c:spPr>
              <c:txPr>
                <a:bodyPr rot="0" spcFirstLastPara="1" vertOverflow="ellipsis" vert="horz" wrap="square" anchor="ctr" anchorCtr="1"/>
                <a:lstStyle/>
                <a:p>
                  <a:pPr>
                    <a:defRPr sz="1050" b="1" i="0" u="none" strike="noStrike" kern="1200" spc="0" baseline="0">
                      <a:solidFill>
                        <a:schemeClr val="accent2">
                          <a:lumMod val="60000"/>
                        </a:schemeClr>
                      </a:solidFill>
                      <a:latin typeface="+mn-lt"/>
                      <a:ea typeface="+mn-ea"/>
                      <a:cs typeface="+mn-cs"/>
                    </a:defRPr>
                  </a:pPr>
                  <a:endParaRPr lang="es-CL"/>
                </a:p>
              </c:txPr>
              <c:dLblPos val="bestFit"/>
              <c:showLegendKey val="0"/>
              <c:showVal val="1"/>
              <c:showCatName val="1"/>
              <c:showSerName val="0"/>
              <c:showPercent val="0"/>
              <c:showBubbleSize val="0"/>
              <c:extLst>
                <c:ext xmlns:c15="http://schemas.microsoft.com/office/drawing/2012/chart" uri="{CE6537A1-D6FC-4f65-9D91-7224C49458BB}">
                  <c15:layout>
                    <c:manualLayout>
                      <c:w val="0.30144343792532446"/>
                      <c:h val="0.12431897334948516"/>
                    </c:manualLayout>
                  </c15:layout>
                </c:ext>
                <c:ext xmlns:c16="http://schemas.microsoft.com/office/drawing/2014/chart" uri="{C3380CC4-5D6E-409C-BE32-E72D297353CC}">
                  <c16:uniqueId val="{0000000F-E659-E54B-B317-37D00A99681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mn-lt"/>
                    <a:ea typeface="+mn-ea"/>
                    <a:cs typeface="+mn-cs"/>
                  </a:defRPr>
                </a:pPr>
                <a:endParaRPr lang="es-CL"/>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Hoja1!$A$4:$A$11</c:f>
              <c:strCache>
                <c:ptCount val="8"/>
                <c:pt idx="0">
                  <c:v>Residuos de cosecha</c:v>
                </c:pt>
                <c:pt idx="1">
                  <c:v>Torta de semilla de oleaginosoas</c:v>
                </c:pt>
                <c:pt idx="2">
                  <c:v>Sub productos</c:v>
                </c:pt>
                <c:pt idx="3">
                  <c:v>Otros no comestibles</c:v>
                </c:pt>
                <c:pt idx="4">
                  <c:v>Cereales</c:v>
                </c:pt>
                <c:pt idx="5">
                  <c:v>Otros comestibles</c:v>
                </c:pt>
                <c:pt idx="6">
                  <c:v>Forrajes </c:v>
                </c:pt>
                <c:pt idx="7">
                  <c:v>Cultivos suplementarios</c:v>
                </c:pt>
              </c:strCache>
            </c:strRef>
          </c:cat>
          <c:val>
            <c:numRef>
              <c:f>Hoja1!$B$4:$B$11</c:f>
              <c:numCache>
                <c:formatCode>0%</c:formatCode>
                <c:ptCount val="8"/>
                <c:pt idx="0">
                  <c:v>0.19</c:v>
                </c:pt>
                <c:pt idx="1">
                  <c:v>0.05</c:v>
                </c:pt>
                <c:pt idx="2">
                  <c:v>0.05</c:v>
                </c:pt>
                <c:pt idx="3">
                  <c:v>0.03</c:v>
                </c:pt>
                <c:pt idx="4">
                  <c:v>0.13</c:v>
                </c:pt>
                <c:pt idx="5">
                  <c:v>0.01</c:v>
                </c:pt>
                <c:pt idx="6">
                  <c:v>0.46</c:v>
                </c:pt>
                <c:pt idx="7">
                  <c:v>0.08</c:v>
                </c:pt>
              </c:numCache>
            </c:numRef>
          </c:val>
          <c:extLst>
            <c:ext xmlns:c16="http://schemas.microsoft.com/office/drawing/2014/chart" uri="{C3380CC4-5D6E-409C-BE32-E72D297353CC}">
              <c16:uniqueId val="{00000010-E659-E54B-B317-37D00A99681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CB-814E-B0C7-DDBC3D08264B}"/>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E5CB-814E-B0C7-DDBC3D08264B}"/>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E5CB-814E-B0C7-DDBC3D08264B}"/>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E5CB-814E-B0C7-DDBC3D08264B}"/>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E5CB-814E-B0C7-DDBC3D08264B}"/>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E5CB-814E-B0C7-DDBC3D08264B}"/>
              </c:ext>
            </c:extLst>
          </c:dPt>
          <c:dLbls>
            <c:dLbl>
              <c:idx val="0"/>
              <c:layout>
                <c:manualLayout>
                  <c:x val="6.2607233013490221E-2"/>
                  <c:y val="2.4484021675166255E-7"/>
                </c:manualLayout>
              </c:layout>
              <c:tx>
                <c:rich>
                  <a:bodyPr/>
                  <a:lstStyle/>
                  <a:p>
                    <a:fld id="{27EC1666-7FE8-6C4B-B2BC-1E7C113D16C8}" type="CATEGORYNAME">
                      <a:rPr lang="en-US"/>
                      <a:pPr/>
                      <a:t>[NOMBRE DE CATEGORÍA]</a:t>
                    </a:fld>
                    <a:r>
                      <a:rPr lang="en-US"/>
                      <a:t> </a:t>
                    </a:r>
                    <a:fld id="{A1FB24F1-9E17-DD4F-BFBE-28CE371CE75B}" type="PERCENTAGE">
                      <a:rPr lang="en-US" baseline="0"/>
                      <a:pPr/>
                      <a:t>[PORCENTAJE]</a:t>
                    </a:fld>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30882587576391402"/>
                      <c:h val="0.12641066999739456"/>
                    </c:manualLayout>
                  </c15:layout>
                  <c15:dlblFieldTable/>
                  <c15:showDataLabelsRange val="0"/>
                </c:ext>
                <c:ext xmlns:c16="http://schemas.microsoft.com/office/drawing/2014/chart" uri="{C3380CC4-5D6E-409C-BE32-E72D297353CC}">
                  <c16:uniqueId val="{00000001-E5CB-814E-B0C7-DDBC3D08264B}"/>
                </c:ext>
              </c:extLst>
            </c:dLbl>
            <c:dLbl>
              <c:idx val="1"/>
              <c:layout>
                <c:manualLayout>
                  <c:x val="3.8233589137383672E-2"/>
                  <c:y val="-1.2176361651379183E-4"/>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5515CD36-26C1-1444-92BB-824F0BDBA7BF}" type="CATEGORYNAME">
                      <a:rPr lang="en-US"/>
                      <a:pPr>
                        <a:defRPr sz="800" b="1">
                          <a:latin typeface="Arial" panose="020B0604020202020204" pitchFamily="34" charset="0"/>
                          <a:cs typeface="Arial" panose="020B0604020202020204" pitchFamily="34" charset="0"/>
                        </a:defRPr>
                      </a:pPr>
                      <a:t>[NOMBRE DE CATEGORÍA]</a:t>
                    </a:fld>
                    <a:r>
                      <a:rPr lang="en-US"/>
                      <a:t> </a:t>
                    </a:r>
                    <a:fld id="{F5345F74-CE1C-B74A-9BBE-C072D6D15666}" type="PERCENTAGE">
                      <a:rPr lang="en-US" baseline="0"/>
                      <a:pPr>
                        <a:defRPr sz="800" b="1">
                          <a:latin typeface="Arial" panose="020B0604020202020204" pitchFamily="34" charset="0"/>
                          <a:cs typeface="Arial" panose="020B0604020202020204" pitchFamily="34" charset="0"/>
                        </a:defRPr>
                      </a:pPr>
                      <a:t>[PORCENTAJE]</a:t>
                    </a:fld>
                    <a:endParaRPr lang="en-US"/>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L"/>
                </a:p>
              </c:txPr>
              <c:dLblPos val="bestFit"/>
              <c:showLegendKey val="0"/>
              <c:showVal val="0"/>
              <c:showCatName val="1"/>
              <c:showSerName val="0"/>
              <c:showPercent val="1"/>
              <c:showBubbleSize val="0"/>
              <c:extLst>
                <c:ext xmlns:c15="http://schemas.microsoft.com/office/drawing/2012/chart" uri="{CE6537A1-D6FC-4f65-9D91-7224C49458BB}">
                  <c15:layout>
                    <c:manualLayout>
                      <c:w val="0.19673699915135809"/>
                      <c:h val="0.13735787846128159"/>
                    </c:manualLayout>
                  </c15:layout>
                  <c15:dlblFieldTable/>
                  <c15:showDataLabelsRange val="0"/>
                </c:ext>
                <c:ext xmlns:c16="http://schemas.microsoft.com/office/drawing/2014/chart" uri="{C3380CC4-5D6E-409C-BE32-E72D297353CC}">
                  <c16:uniqueId val="{00000003-E5CB-814E-B0C7-DDBC3D08264B}"/>
                </c:ext>
              </c:extLst>
            </c:dLbl>
            <c:dLbl>
              <c:idx val="2"/>
              <c:layout>
                <c:manualLayout>
                  <c:x val="1.2956217366830789E-2"/>
                  <c:y val="1.0098075615624537E-2"/>
                </c:manualLayout>
              </c:layout>
              <c:tx>
                <c:rich>
                  <a:bodyPr/>
                  <a:lstStyle/>
                  <a:p>
                    <a:fld id="{28725A77-B9CC-184B-8148-AA3804526526}" type="CATEGORYNAME">
                      <a:rPr lang="en-US"/>
                      <a:pPr/>
                      <a:t>[NOMBRE DE CATEGORÍA]</a:t>
                    </a:fld>
                    <a:r>
                      <a:rPr lang="en-US"/>
                      <a:t> </a:t>
                    </a:r>
                    <a:fld id="{784A5836-FCC1-3B44-AFC7-763E0610C85D}" type="PERCENTAGE">
                      <a:rPr lang="en-US" baseline="0"/>
                      <a:pPr/>
                      <a:t>[PORCENTAJE]</a:t>
                    </a:fld>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18444495730440805"/>
                      <c:h val="0.15450891321080445"/>
                    </c:manualLayout>
                  </c15:layout>
                  <c15:dlblFieldTable/>
                  <c15:showDataLabelsRange val="0"/>
                </c:ext>
                <c:ext xmlns:c16="http://schemas.microsoft.com/office/drawing/2014/chart" uri="{C3380CC4-5D6E-409C-BE32-E72D297353CC}">
                  <c16:uniqueId val="{00000005-E5CB-814E-B0C7-DDBC3D08264B}"/>
                </c:ext>
              </c:extLst>
            </c:dLbl>
            <c:dLbl>
              <c:idx val="3"/>
              <c:layout>
                <c:manualLayout>
                  <c:x val="-8.7808960514021428E-4"/>
                  <c:y val="0.1480888313910339"/>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fld id="{80811D4B-25F6-CE47-BF5C-2E5A9FEE67AF}" type="CATEGORYNAME">
                      <a:rPr lang="en-US"/>
                      <a:pPr>
                        <a:defRPr sz="800" b="1">
                          <a:solidFill>
                            <a:schemeClr val="tx1"/>
                          </a:solidFill>
                          <a:latin typeface="Arial" panose="020B0604020202020204" pitchFamily="34" charset="0"/>
                          <a:cs typeface="Arial" panose="020B0604020202020204" pitchFamily="34" charset="0"/>
                        </a:defRPr>
                      </a:pPr>
                      <a:t>[NOMBRE DE CATEGORÍA]</a:t>
                    </a:fld>
                    <a:r>
                      <a:rPr lang="en-US" baseline="0"/>
                      <a:t> </a:t>
                    </a:r>
                    <a:fld id="{697785B6-2B48-4A42-9096-83835A31C985}" type="PERCENTAGE">
                      <a:rPr lang="en-US" baseline="0"/>
                      <a:pPr>
                        <a:defRPr sz="800" b="1">
                          <a:solidFill>
                            <a:schemeClr val="tx1"/>
                          </a:solidFill>
                          <a:latin typeface="Arial" panose="020B0604020202020204" pitchFamily="34" charset="0"/>
                          <a:cs typeface="Arial" panose="020B0604020202020204" pitchFamily="34" charset="0"/>
                        </a:defRPr>
                      </a:pPr>
                      <a:t>[PORCENTAJE]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dLblPos val="bestFit"/>
              <c:showLegendKey val="0"/>
              <c:showVal val="0"/>
              <c:showCatName val="1"/>
              <c:showSerName val="0"/>
              <c:showPercent val="1"/>
              <c:showBubbleSize val="0"/>
              <c:extLst>
                <c:ext xmlns:c15="http://schemas.microsoft.com/office/drawing/2012/chart" uri="{CE6537A1-D6FC-4f65-9D91-7224C49458BB}">
                  <c15:layout>
                    <c:manualLayout>
                      <c:w val="0.21359369930853961"/>
                      <c:h val="0.1876658099917547"/>
                    </c:manualLayout>
                  </c15:layout>
                  <c15:dlblFieldTable/>
                  <c15:showDataLabelsRange val="0"/>
                </c:ext>
                <c:ext xmlns:c16="http://schemas.microsoft.com/office/drawing/2014/chart" uri="{C3380CC4-5D6E-409C-BE32-E72D297353CC}">
                  <c16:uniqueId val="{00000007-E5CB-814E-B0C7-DDBC3D08264B}"/>
                </c:ext>
              </c:extLst>
            </c:dLbl>
            <c:dLbl>
              <c:idx val="4"/>
              <c:layout>
                <c:manualLayout>
                  <c:x val="0.19972892320221292"/>
                  <c:y val="-0.20373759544540337"/>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C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5CB-814E-B0C7-DDBC3D08264B}"/>
                </c:ext>
              </c:extLst>
            </c:dLbl>
            <c:dLbl>
              <c:idx val="5"/>
              <c:layout>
                <c:manualLayout>
                  <c:x val="-0.26847922281120351"/>
                  <c:y val="4.59350070506152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5CB-814E-B0C7-DDBC3D08264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Hoja1!$H$11:$H$16</c:f>
              <c:strCache>
                <c:ptCount val="6"/>
                <c:pt idx="0">
                  <c:v>Tierras para  el ganado</c:v>
                </c:pt>
                <c:pt idx="1">
                  <c:v>No productivo</c:v>
                </c:pt>
                <c:pt idx="2">
                  <c:v>Bosques y matorrales</c:v>
                </c:pt>
                <c:pt idx="3">
                  <c:v>Tierra cultivable</c:v>
                </c:pt>
                <c:pt idx="4">
                  <c:v>Océanos</c:v>
                </c:pt>
                <c:pt idx="5">
                  <c:v>Urbano/Industrial</c:v>
                </c:pt>
              </c:strCache>
            </c:strRef>
          </c:cat>
          <c:val>
            <c:numRef>
              <c:f>Hoja1!$I$11:$I$16</c:f>
              <c:numCache>
                <c:formatCode>0%</c:formatCode>
                <c:ptCount val="6"/>
                <c:pt idx="0">
                  <c:v>0.14000000000000001</c:v>
                </c:pt>
                <c:pt idx="1">
                  <c:v>0.05</c:v>
                </c:pt>
                <c:pt idx="2">
                  <c:v>0.1</c:v>
                </c:pt>
                <c:pt idx="3">
                  <c:v>0.04</c:v>
                </c:pt>
                <c:pt idx="4">
                  <c:v>0.66</c:v>
                </c:pt>
                <c:pt idx="5">
                  <c:v>0.01</c:v>
                </c:pt>
              </c:numCache>
            </c:numRef>
          </c:val>
          <c:extLst>
            <c:ext xmlns:c16="http://schemas.microsoft.com/office/drawing/2014/chart" uri="{C3380CC4-5D6E-409C-BE32-E72D297353CC}">
              <c16:uniqueId val="{0000000C-E5CB-814E-B0C7-DDBC3D08264B}"/>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3719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2021-07-26T22:03:00Z</dcterms:created>
  <dcterms:modified xsi:type="dcterms:W3CDTF">2021-07-26T22:03:00Z</dcterms:modified>
</cp:coreProperties>
</file>